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387E" w14:textId="77777777" w:rsidR="003E411A" w:rsidRPr="002B0721" w:rsidRDefault="00633ACA" w:rsidP="00633ACA">
      <w:pPr>
        <w:jc w:val="center"/>
        <w:rPr>
          <w:b/>
          <w:bCs/>
          <w:sz w:val="28"/>
          <w:szCs w:val="24"/>
        </w:rPr>
      </w:pPr>
      <w:r w:rsidRPr="002B0721">
        <w:rPr>
          <w:b/>
          <w:bCs/>
          <w:sz w:val="28"/>
          <w:szCs w:val="24"/>
        </w:rPr>
        <w:t>BUDAPESTI MŰSZAKI ÉS GAZDASÁGTUDOMÁNYI EGYETEM</w:t>
      </w:r>
    </w:p>
    <w:p w14:paraId="556315A2" w14:textId="77777777" w:rsidR="00633ACA" w:rsidRPr="002B0721" w:rsidRDefault="00633ACA" w:rsidP="00633ACA">
      <w:pPr>
        <w:pBdr>
          <w:bottom w:val="single" w:sz="4" w:space="1" w:color="auto"/>
        </w:pBdr>
        <w:jc w:val="center"/>
        <w:rPr>
          <w:b/>
          <w:bCs/>
          <w:sz w:val="28"/>
          <w:szCs w:val="24"/>
        </w:rPr>
      </w:pPr>
      <w:r w:rsidRPr="002B0721">
        <w:rPr>
          <w:b/>
          <w:bCs/>
          <w:sz w:val="28"/>
          <w:szCs w:val="24"/>
          <w:shd w:val="clear" w:color="auto" w:fill="FFFF00"/>
        </w:rPr>
        <w:t>&lt;&lt;KITÖLTENDŐ&gt;&gt;</w:t>
      </w:r>
      <w:r w:rsidRPr="002B0721">
        <w:rPr>
          <w:b/>
          <w:bCs/>
          <w:sz w:val="28"/>
          <w:szCs w:val="24"/>
        </w:rPr>
        <w:t xml:space="preserve"> KAR</w:t>
      </w:r>
    </w:p>
    <w:p w14:paraId="5541DC37" w14:textId="77777777" w:rsidR="00633ACA" w:rsidRPr="002B0721" w:rsidRDefault="00633ACA" w:rsidP="00633ACA">
      <w:pPr>
        <w:jc w:val="center"/>
        <w:rPr>
          <w:b/>
          <w:bCs/>
          <w:sz w:val="28"/>
          <w:szCs w:val="24"/>
        </w:rPr>
      </w:pPr>
      <w:r w:rsidRPr="00F76B3B">
        <w:rPr>
          <w:b/>
          <w:bCs/>
          <w:sz w:val="28"/>
          <w:szCs w:val="24"/>
          <w:shd w:val="clear" w:color="auto" w:fill="FFFF00"/>
        </w:rPr>
        <w:t>&lt;&lt;KITÖLTENDŐ&gt;&gt;</w:t>
      </w:r>
      <w:r w:rsidRPr="002B0721">
        <w:rPr>
          <w:b/>
          <w:bCs/>
          <w:sz w:val="28"/>
          <w:szCs w:val="24"/>
        </w:rPr>
        <w:t xml:space="preserve"> KÉPZÉSI SZAKBIZOTTSÁG</w:t>
      </w:r>
    </w:p>
    <w:p w14:paraId="5AAA0731" w14:textId="77777777" w:rsidR="00633ACA" w:rsidRPr="002B0721" w:rsidRDefault="00633ACA"/>
    <w:p w14:paraId="47E2BB24" w14:textId="77777777" w:rsidR="00633ACA" w:rsidRPr="002B0721" w:rsidRDefault="00633ACA"/>
    <w:p w14:paraId="603233D6" w14:textId="77777777" w:rsidR="00633ACA" w:rsidRPr="002B0721" w:rsidRDefault="00633ACA"/>
    <w:p w14:paraId="00FB77D5" w14:textId="77777777" w:rsidR="00633ACA" w:rsidRPr="002B0721" w:rsidRDefault="00633ACA"/>
    <w:p w14:paraId="4A30C6BF" w14:textId="77777777" w:rsidR="00633ACA" w:rsidRPr="002B0721" w:rsidRDefault="00633ACA"/>
    <w:p w14:paraId="4C457936" w14:textId="77777777" w:rsidR="00633ACA" w:rsidRPr="002B0721" w:rsidRDefault="00633ACA" w:rsidP="00633ACA">
      <w:pPr>
        <w:pStyle w:val="Title"/>
      </w:pPr>
      <w:r w:rsidRPr="002B0721">
        <w:t>Képzésfelülvizsgálati jelentés</w:t>
      </w:r>
    </w:p>
    <w:p w14:paraId="2047DA2C" w14:textId="77777777" w:rsidR="00633ACA" w:rsidRPr="002B0721" w:rsidRDefault="00633ACA"/>
    <w:p w14:paraId="7F897D62" w14:textId="77777777" w:rsidR="00633ACA" w:rsidRPr="002B0721" w:rsidRDefault="00633ACA"/>
    <w:p w14:paraId="589C09AB" w14:textId="77777777" w:rsidR="00633ACA" w:rsidRPr="002B0721" w:rsidRDefault="00633ACA"/>
    <w:p w14:paraId="752BC2B4" w14:textId="77777777" w:rsidR="00633ACA" w:rsidRPr="002B0721" w:rsidRDefault="00633ACA" w:rsidP="00633ACA">
      <w:pPr>
        <w:rPr>
          <w:b/>
          <w:bCs/>
        </w:rPr>
      </w:pPr>
      <w:r w:rsidRPr="002B0721">
        <w:rPr>
          <w:b/>
          <w:bCs/>
        </w:rPr>
        <w:t>Dokumentum-azonosítás és verziókezelés</w:t>
      </w:r>
    </w:p>
    <w:tbl>
      <w:tblPr>
        <w:tblStyle w:val="GridTable4-Accent1"/>
        <w:tblW w:w="0" w:type="auto"/>
        <w:tblLook w:val="04A0" w:firstRow="1" w:lastRow="0" w:firstColumn="1" w:lastColumn="0" w:noHBand="0" w:noVBand="1"/>
      </w:tblPr>
      <w:tblGrid>
        <w:gridCol w:w="4490"/>
        <w:gridCol w:w="4572"/>
      </w:tblGrid>
      <w:tr w:rsidR="00633ACA" w:rsidRPr="002B0721" w14:paraId="5EE1D08B" w14:textId="77777777" w:rsidTr="00677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14:paraId="2AD96E93" w14:textId="77777777" w:rsidR="00633ACA" w:rsidRPr="002B0721" w:rsidRDefault="00633ACA" w:rsidP="00D92C6C">
            <w:r w:rsidRPr="002B0721">
              <w:rPr>
                <w:b w:val="0"/>
              </w:rPr>
              <w:t>Szak megnevezése</w:t>
            </w:r>
          </w:p>
        </w:tc>
        <w:tc>
          <w:tcPr>
            <w:tcW w:w="4572" w:type="dxa"/>
          </w:tcPr>
          <w:p w14:paraId="7273C88D" w14:textId="77777777" w:rsidR="00633ACA" w:rsidRPr="002B0721" w:rsidRDefault="00633ACA" w:rsidP="00D92C6C">
            <w:pPr>
              <w:cnfStyle w:val="100000000000" w:firstRow="1" w:lastRow="0" w:firstColumn="0" w:lastColumn="0" w:oddVBand="0" w:evenVBand="0" w:oddHBand="0" w:evenHBand="0" w:firstRowFirstColumn="0" w:firstRowLastColumn="0" w:lastRowFirstColumn="0" w:lastRowLastColumn="0"/>
              <w:rPr>
                <w:highlight w:val="yellow"/>
              </w:rPr>
            </w:pPr>
            <w:r w:rsidRPr="002B0721">
              <w:rPr>
                <w:highlight w:val="yellow"/>
              </w:rPr>
              <w:t>&lt;&lt;KITÖLTENDŐ&gt;&gt;</w:t>
            </w:r>
          </w:p>
        </w:tc>
      </w:tr>
      <w:tr w:rsidR="00633ACA" w:rsidRPr="002B0721" w14:paraId="4CA8E9C6" w14:textId="77777777" w:rsidTr="00677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14:paraId="180A4023" w14:textId="77777777" w:rsidR="00633ACA" w:rsidRPr="002B0721" w:rsidRDefault="00633ACA" w:rsidP="00E85D4E">
            <w:pPr>
              <w:jc w:val="left"/>
            </w:pPr>
            <w:r w:rsidRPr="002B0721">
              <w:t>Képzési szint / munkarend / nyelv</w:t>
            </w:r>
          </w:p>
        </w:tc>
        <w:tc>
          <w:tcPr>
            <w:tcW w:w="4572" w:type="dxa"/>
          </w:tcPr>
          <w:p w14:paraId="5C4B37CF" w14:textId="77777777" w:rsidR="00633ACA" w:rsidRPr="002B0721" w:rsidRDefault="00633ACA" w:rsidP="00D92C6C">
            <w:pPr>
              <w:cnfStyle w:val="000000100000" w:firstRow="0" w:lastRow="0" w:firstColumn="0" w:lastColumn="0" w:oddVBand="0" w:evenVBand="0" w:oddHBand="1" w:evenHBand="0" w:firstRowFirstColumn="0" w:firstRowLastColumn="0" w:lastRowFirstColumn="0" w:lastRowLastColumn="0"/>
              <w:rPr>
                <w:highlight w:val="yellow"/>
              </w:rPr>
            </w:pPr>
            <w:r w:rsidRPr="002B0721">
              <w:rPr>
                <w:highlight w:val="yellow"/>
              </w:rPr>
              <w:t xml:space="preserve">&lt;&lt;pl. </w:t>
            </w:r>
            <w:proofErr w:type="spellStart"/>
            <w:r w:rsidRPr="002B0721">
              <w:rPr>
                <w:highlight w:val="yellow"/>
              </w:rPr>
              <w:t>BSc</w:t>
            </w:r>
            <w:proofErr w:type="spellEnd"/>
            <w:r w:rsidRPr="002B0721">
              <w:rPr>
                <w:highlight w:val="yellow"/>
              </w:rPr>
              <w:t xml:space="preserve"> nappali HU / </w:t>
            </w:r>
            <w:proofErr w:type="spellStart"/>
            <w:r w:rsidRPr="002B0721">
              <w:rPr>
                <w:highlight w:val="yellow"/>
              </w:rPr>
              <w:t>MSc</w:t>
            </w:r>
            <w:proofErr w:type="spellEnd"/>
            <w:r w:rsidRPr="002B0721">
              <w:rPr>
                <w:highlight w:val="yellow"/>
              </w:rPr>
              <w:t xml:space="preserve"> levelező EN&gt;&gt;</w:t>
            </w:r>
          </w:p>
        </w:tc>
      </w:tr>
      <w:tr w:rsidR="00633ACA" w:rsidRPr="002B0721" w14:paraId="22A91861" w14:textId="77777777" w:rsidTr="00677ED0">
        <w:tc>
          <w:tcPr>
            <w:cnfStyle w:val="001000000000" w:firstRow="0" w:lastRow="0" w:firstColumn="1" w:lastColumn="0" w:oddVBand="0" w:evenVBand="0" w:oddHBand="0" w:evenHBand="0" w:firstRowFirstColumn="0" w:firstRowLastColumn="0" w:lastRowFirstColumn="0" w:lastRowLastColumn="0"/>
            <w:tcW w:w="4490" w:type="dxa"/>
          </w:tcPr>
          <w:p w14:paraId="071D2826" w14:textId="77777777" w:rsidR="00633ACA" w:rsidRPr="002B0721" w:rsidRDefault="00633ACA" w:rsidP="00E85D4E">
            <w:pPr>
              <w:jc w:val="left"/>
            </w:pPr>
            <w:r w:rsidRPr="002B0721">
              <w:t>Felülvizsgálattal érintett képzési időszak</w:t>
            </w:r>
          </w:p>
        </w:tc>
        <w:tc>
          <w:tcPr>
            <w:tcW w:w="4572" w:type="dxa"/>
          </w:tcPr>
          <w:p w14:paraId="0499FDC5" w14:textId="77777777" w:rsidR="00633ACA" w:rsidRPr="002B0721" w:rsidRDefault="00633ACA" w:rsidP="00D92C6C">
            <w:pPr>
              <w:cnfStyle w:val="000000000000" w:firstRow="0" w:lastRow="0" w:firstColumn="0" w:lastColumn="0" w:oddVBand="0" w:evenVBand="0" w:oddHBand="0" w:evenHBand="0" w:firstRowFirstColumn="0" w:firstRowLastColumn="0" w:lastRowFirstColumn="0" w:lastRowLastColumn="0"/>
              <w:rPr>
                <w:highlight w:val="yellow"/>
              </w:rPr>
            </w:pPr>
            <w:r w:rsidRPr="002B0721">
              <w:rPr>
                <w:highlight w:val="yellow"/>
              </w:rPr>
              <w:t>&lt;&lt;pl. 2021-2026 (5 év)&gt;&gt;</w:t>
            </w:r>
          </w:p>
        </w:tc>
      </w:tr>
      <w:tr w:rsidR="00633ACA" w:rsidRPr="002B0721" w14:paraId="0FB013A9" w14:textId="77777777" w:rsidTr="00677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14:paraId="4C19025A" w14:textId="77777777" w:rsidR="00633ACA" w:rsidRPr="002B0721" w:rsidRDefault="00633ACA" w:rsidP="00E85D4E">
            <w:pPr>
              <w:jc w:val="left"/>
            </w:pPr>
            <w:r w:rsidRPr="002B0721">
              <w:t>Készítette</w:t>
            </w:r>
          </w:p>
        </w:tc>
        <w:tc>
          <w:tcPr>
            <w:tcW w:w="4572" w:type="dxa"/>
          </w:tcPr>
          <w:p w14:paraId="767C0A9D" w14:textId="77777777" w:rsidR="00633ACA" w:rsidRPr="002B0721" w:rsidRDefault="00633ACA" w:rsidP="00D92C6C">
            <w:pPr>
              <w:cnfStyle w:val="000000100000" w:firstRow="0" w:lastRow="0" w:firstColumn="0" w:lastColumn="0" w:oddVBand="0" w:evenVBand="0" w:oddHBand="1" w:evenHBand="0" w:firstRowFirstColumn="0" w:firstRowLastColumn="0" w:lastRowFirstColumn="0" w:lastRowLastColumn="0"/>
              <w:rPr>
                <w:highlight w:val="yellow"/>
              </w:rPr>
            </w:pPr>
            <w:r w:rsidRPr="002B0721">
              <w:rPr>
                <w:highlight w:val="yellow"/>
              </w:rPr>
              <w:t>&lt;&lt;név</w:t>
            </w:r>
            <w:r w:rsidR="00E85D4E" w:rsidRPr="002B0721">
              <w:rPr>
                <w:highlight w:val="yellow"/>
              </w:rPr>
              <w:t>1, név2, …</w:t>
            </w:r>
            <w:r w:rsidRPr="002B0721">
              <w:rPr>
                <w:highlight w:val="yellow"/>
              </w:rPr>
              <w:t>, szervezet</w:t>
            </w:r>
            <w:r w:rsidR="00E85D4E" w:rsidRPr="002B0721">
              <w:rPr>
                <w:highlight w:val="yellow"/>
              </w:rPr>
              <w:t>/bizottság</w:t>
            </w:r>
            <w:r w:rsidRPr="002B0721">
              <w:rPr>
                <w:highlight w:val="yellow"/>
              </w:rPr>
              <w:t>&gt;&gt;</w:t>
            </w:r>
          </w:p>
        </w:tc>
      </w:tr>
      <w:tr w:rsidR="00633ACA" w:rsidRPr="002B0721" w14:paraId="5688E16F" w14:textId="77777777" w:rsidTr="00677ED0">
        <w:tc>
          <w:tcPr>
            <w:cnfStyle w:val="001000000000" w:firstRow="0" w:lastRow="0" w:firstColumn="1" w:lastColumn="0" w:oddVBand="0" w:evenVBand="0" w:oddHBand="0" w:evenHBand="0" w:firstRowFirstColumn="0" w:firstRowLastColumn="0" w:lastRowFirstColumn="0" w:lastRowLastColumn="0"/>
            <w:tcW w:w="4490" w:type="dxa"/>
          </w:tcPr>
          <w:p w14:paraId="70EF0026" w14:textId="77777777" w:rsidR="00633ACA" w:rsidRPr="002B0721" w:rsidRDefault="00633ACA" w:rsidP="00E85D4E">
            <w:pPr>
              <w:jc w:val="left"/>
            </w:pPr>
            <w:r w:rsidRPr="002B0721">
              <w:t>Jóváhagyta</w:t>
            </w:r>
          </w:p>
        </w:tc>
        <w:tc>
          <w:tcPr>
            <w:tcW w:w="4572" w:type="dxa"/>
          </w:tcPr>
          <w:p w14:paraId="1BE5B621" w14:textId="77777777" w:rsidR="00633ACA" w:rsidRPr="002B0721" w:rsidRDefault="00633ACA" w:rsidP="00D92C6C">
            <w:pPr>
              <w:cnfStyle w:val="000000000000" w:firstRow="0" w:lastRow="0" w:firstColumn="0" w:lastColumn="0" w:oddVBand="0" w:evenVBand="0" w:oddHBand="0" w:evenHBand="0" w:firstRowFirstColumn="0" w:firstRowLastColumn="0" w:lastRowFirstColumn="0" w:lastRowLastColumn="0"/>
              <w:rPr>
                <w:highlight w:val="yellow"/>
              </w:rPr>
            </w:pPr>
            <w:r w:rsidRPr="002B0721">
              <w:rPr>
                <w:highlight w:val="yellow"/>
              </w:rPr>
              <w:t>&lt;&lt;képzési szakbizottság / szakfelelős&gt;&gt;</w:t>
            </w:r>
          </w:p>
        </w:tc>
      </w:tr>
      <w:tr w:rsidR="00633ACA" w:rsidRPr="002B0721" w14:paraId="35E05608" w14:textId="77777777" w:rsidTr="00677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Pr>
          <w:p w14:paraId="5C3D4A2C" w14:textId="77777777" w:rsidR="00633ACA" w:rsidRPr="002B0721" w:rsidRDefault="00633ACA" w:rsidP="00E85D4E">
            <w:pPr>
              <w:jc w:val="left"/>
            </w:pPr>
            <w:r w:rsidRPr="002B0721">
              <w:t>Verzió / dátum</w:t>
            </w:r>
          </w:p>
        </w:tc>
        <w:tc>
          <w:tcPr>
            <w:tcW w:w="4572" w:type="dxa"/>
          </w:tcPr>
          <w:p w14:paraId="36535493" w14:textId="77777777" w:rsidR="00633ACA" w:rsidRPr="002B0721" w:rsidRDefault="00633ACA" w:rsidP="00D92C6C">
            <w:pPr>
              <w:cnfStyle w:val="000000100000" w:firstRow="0" w:lastRow="0" w:firstColumn="0" w:lastColumn="0" w:oddVBand="0" w:evenVBand="0" w:oddHBand="1" w:evenHBand="0" w:firstRowFirstColumn="0" w:firstRowLastColumn="0" w:lastRowFirstColumn="0" w:lastRowLastColumn="0"/>
              <w:rPr>
                <w:highlight w:val="yellow"/>
              </w:rPr>
            </w:pPr>
            <w:r w:rsidRPr="002B0721">
              <w:rPr>
                <w:highlight w:val="yellow"/>
              </w:rPr>
              <w:t xml:space="preserve">&lt;&lt;v0.1 - </w:t>
            </w:r>
            <w:proofErr w:type="gramStart"/>
            <w:r w:rsidRPr="002B0721">
              <w:rPr>
                <w:highlight w:val="yellow"/>
              </w:rPr>
              <w:t>ÉÉÉÉ.HH.NN</w:t>
            </w:r>
            <w:proofErr w:type="gramEnd"/>
            <w:r w:rsidRPr="002B0721">
              <w:rPr>
                <w:highlight w:val="yellow"/>
              </w:rPr>
              <w:t>&gt;&gt;</w:t>
            </w:r>
          </w:p>
        </w:tc>
      </w:tr>
    </w:tbl>
    <w:p w14:paraId="7A514772" w14:textId="77777777" w:rsidR="00633ACA" w:rsidRPr="002B0721" w:rsidRDefault="00633ACA" w:rsidP="00633ACA"/>
    <w:p w14:paraId="1B2ED8C0" w14:textId="77777777" w:rsidR="00633ACA" w:rsidRPr="002B0721" w:rsidRDefault="00633ACA"/>
    <w:p w14:paraId="6F3E0CCC" w14:textId="77777777" w:rsidR="00E85D4E" w:rsidRPr="002B0721" w:rsidRDefault="00E85D4E">
      <w:pPr>
        <w:spacing w:after="160" w:line="259" w:lineRule="auto"/>
        <w:jc w:val="left"/>
      </w:pPr>
      <w:r w:rsidRPr="002B0721">
        <w:br w:type="page"/>
      </w:r>
    </w:p>
    <w:p w14:paraId="3A7DE027" w14:textId="77777777" w:rsidR="00E85D4E" w:rsidRPr="002B0721" w:rsidRDefault="00E85D4E" w:rsidP="00E85D4E">
      <w:pPr>
        <w:pStyle w:val="Heading1"/>
      </w:pPr>
      <w:r w:rsidRPr="002B0721">
        <w:lastRenderedPageBreak/>
        <w:t>Vezetői összefoglaló</w:t>
      </w:r>
    </w:p>
    <w:p w14:paraId="369F4D71" w14:textId="77777777" w:rsidR="00E93DBB" w:rsidRDefault="00032A4C">
      <w:pPr>
        <w:pStyle w:val="Infobox"/>
      </w:pPr>
      <w:r>
        <w:t xml:space="preserve">INFOBOX: Ez a fejezet a teljes jelentés döntéshozói kivonata, ezért önállóan olvashatónak és rövid idő alatt áttekinthetőnek kell lennie. Foglalja össze, miért vált szükségessé a felülvizsgálat, melyek a legfontosabb bizonyítékokon alapuló megállapítások, és ezek milyen beavatkozásokat indokolnak. Emelje ki a 3–5 legfontosabb döntési pontot, a várható hatásokat, valamint az ezekhez szükséges idő-, erőforrás- és szervezeti feltételeket. A fejezetben a részletek helyett a stratégiai üzenetek, a priorizálás és a végrehajtási logika legyen hangsúlyos, minden állítás mögött a jelentés későbbi részeire visszamutató bizonyítékkal. </w:t>
      </w:r>
    </w:p>
    <w:p w14:paraId="0A0CFD55" w14:textId="7B1D85B4" w:rsidR="00DA0DBC" w:rsidRDefault="00032A4C">
      <w:pPr>
        <w:pStyle w:val="Infobox"/>
      </w:pPr>
      <w:r>
        <w:t>Kapcsolódó ESG: 1.7 Információkezelés, 1.8 Nyilvános információk, 1.9 A képzési programok folyamatos figyelemmel kísérése és rendszeres értékelése.</w:t>
      </w:r>
    </w:p>
    <w:p w14:paraId="1FDFADAE" w14:textId="77777777" w:rsidR="0011453E" w:rsidRPr="002B0721" w:rsidRDefault="00E85D4E" w:rsidP="0011453E">
      <w:pPr>
        <w:pStyle w:val="Heading2"/>
        <w:rPr>
          <w:b w:val="0"/>
        </w:rPr>
      </w:pPr>
      <w:r w:rsidRPr="002B0721">
        <w:t>Háttér és cél</w:t>
      </w:r>
    </w:p>
    <w:p w14:paraId="50D6EDEF" w14:textId="77777777" w:rsidR="00E93DBB" w:rsidRDefault="00032A4C">
      <w:pPr>
        <w:pStyle w:val="Infobox"/>
      </w:pPr>
      <w:r>
        <w:t xml:space="preserve">INFOBOX: Ebben az alfejezetben röviden mutassa be, milyen intézményi, kari, szakmai vagy munkaerőpiaci okok tették időszerűvé a felülvizsgálatot. Térjen ki arra, mikor történt utoljára átfogó programfelülvizsgálat, milyen a szak életciklusa, </w:t>
      </w:r>
      <w:proofErr w:type="spellStart"/>
      <w:r>
        <w:t>vonzereje</w:t>
      </w:r>
      <w:proofErr w:type="spellEnd"/>
      <w:r>
        <w:t>, létszámtrendje és hallgatói megítélése</w:t>
      </w:r>
      <w:r w:rsidR="00E93DBB">
        <w:t xml:space="preserve"> (NPS)</w:t>
      </w:r>
      <w:r>
        <w:t xml:space="preserve">. Határozza meg világosan, hogy a jelen felülvizsgálat milyen kérdésekre keres választ, és milyen döntések előkészítését szolgálja. Célszerű rögzíteni a fejlesztés kívánt eredményét is, például a képzés eredményességének, relevanciájának vagy hallgatói élményének javítását. Kapcsolódó </w:t>
      </w:r>
    </w:p>
    <w:p w14:paraId="63169E7C" w14:textId="186AB60E" w:rsidR="00DA0DBC" w:rsidRDefault="00032A4C">
      <w:pPr>
        <w:pStyle w:val="Infobox"/>
      </w:pPr>
      <w:r>
        <w:t>ESG: 1.1 Minőségbiztosítási politika, 1.2 A képzési programok kialakítása és jóváhagyása, 1.9 A képzési programok folyamatos figyelemmel kísérése és rendszeres értékelése.</w:t>
      </w:r>
    </w:p>
    <w:p w14:paraId="75CAF6AD" w14:textId="77777777" w:rsidR="00E85D4E" w:rsidRDefault="00E85D4E" w:rsidP="00E85D4E">
      <w:pPr>
        <w:rPr>
          <w:i/>
          <w:color w:val="005A9C"/>
        </w:rPr>
      </w:pPr>
      <w:r w:rsidRPr="002B0721">
        <w:rPr>
          <w:i/>
          <w:color w:val="005A9C"/>
        </w:rPr>
        <w:t>&lt;&lt;</w:t>
      </w:r>
      <w:proofErr w:type="spellStart"/>
      <w:r w:rsidRPr="002B0721">
        <w:rPr>
          <w:i/>
          <w:color w:val="005A9C"/>
        </w:rPr>
        <w:t>max</w:t>
      </w:r>
      <w:proofErr w:type="spellEnd"/>
      <w:r w:rsidRPr="002B0721">
        <w:rPr>
          <w:i/>
          <w:color w:val="005A9C"/>
        </w:rPr>
        <w:t>. 6-8 mondat&gt;&gt;</w:t>
      </w:r>
    </w:p>
    <w:p w14:paraId="06663FD1" w14:textId="77777777" w:rsidR="00FD20F7" w:rsidRPr="002B0721" w:rsidRDefault="00FD20F7" w:rsidP="00FD20F7"/>
    <w:p w14:paraId="1BAAD6DF" w14:textId="77777777" w:rsidR="0011453E" w:rsidRPr="002B0721" w:rsidRDefault="00E85D4E" w:rsidP="0011453E">
      <w:pPr>
        <w:pStyle w:val="Heading2"/>
      </w:pPr>
      <w:r w:rsidRPr="002B0721">
        <w:t>Legfontosabb megállapítások</w:t>
      </w:r>
    </w:p>
    <w:p w14:paraId="2D8FA505" w14:textId="77777777" w:rsidR="00E93DBB" w:rsidRDefault="00032A4C">
      <w:pPr>
        <w:pStyle w:val="Infobox"/>
      </w:pPr>
      <w:r>
        <w:t xml:space="preserve">INFOBOX: Itt a teljes bizonyítékbázis alapján levont, leginkább döntésre érett következtetéseket kell összefoglalni 3–7 tömör, de </w:t>
      </w:r>
      <w:proofErr w:type="spellStart"/>
      <w:r>
        <w:t>tartalmilag</w:t>
      </w:r>
      <w:proofErr w:type="spellEnd"/>
      <w:r>
        <w:t xml:space="preserve"> gazdag pontban. A megállapítások legyenek egyértelműek, rangsoroltak és lehetőleg ne puszta leírások, hanem értelmezett következtetések legyenek. Célszerű külön jelezni, mely tényezők jelentenek erősséget, melyek strukturális problémát, és melyek kívánnak gyors beavatkozást. Minden állítás támaszkodjon konkrét adatra, trendre, benchmarkra vagy érintetti visszajelzésre, hogy később hivatkozható legyen. Kapcsolódó </w:t>
      </w:r>
    </w:p>
    <w:p w14:paraId="0401E75B" w14:textId="6072C22A" w:rsidR="00DA0DBC" w:rsidRDefault="00032A4C">
      <w:pPr>
        <w:pStyle w:val="Infobox"/>
      </w:pPr>
      <w:r>
        <w:t>ESG: 1.7 Információkezelés és 1.9 A képzési programok folyamatos figyelemmel kísérése és rendszeres értékelése.</w:t>
      </w:r>
    </w:p>
    <w:p w14:paraId="58154654" w14:textId="77777777" w:rsidR="00E85D4E" w:rsidRPr="002B0721" w:rsidRDefault="00E85D4E" w:rsidP="00E85D4E">
      <w:r w:rsidRPr="002B0721">
        <w:rPr>
          <w:i/>
          <w:color w:val="005A9C"/>
        </w:rPr>
        <w:t>&lt;&lt;3-7 pontban&gt;&gt;</w:t>
      </w:r>
    </w:p>
    <w:p w14:paraId="4337EE2A" w14:textId="77777777" w:rsidR="00E85D4E" w:rsidRPr="002B0721" w:rsidRDefault="00E85D4E" w:rsidP="00677ED0">
      <w:pPr>
        <w:pStyle w:val="ListParagraph"/>
        <w:numPr>
          <w:ilvl w:val="0"/>
          <w:numId w:val="8"/>
        </w:numPr>
      </w:pPr>
      <w:r w:rsidRPr="002B0721">
        <w:t>&lt;&lt;KITÖLTENDŐ&gt;&gt;</w:t>
      </w:r>
    </w:p>
    <w:p w14:paraId="53B89F71" w14:textId="77777777" w:rsidR="00E85D4E" w:rsidRPr="002B0721" w:rsidRDefault="00E85D4E" w:rsidP="00677ED0">
      <w:pPr>
        <w:pStyle w:val="ListParagraph"/>
        <w:numPr>
          <w:ilvl w:val="0"/>
          <w:numId w:val="8"/>
        </w:numPr>
      </w:pPr>
      <w:r w:rsidRPr="002B0721">
        <w:t>&lt;&lt;KITÖLTENDŐ&gt;&gt;</w:t>
      </w:r>
    </w:p>
    <w:p w14:paraId="6CC99840" w14:textId="77777777" w:rsidR="00E85D4E" w:rsidRPr="002B0721" w:rsidRDefault="00E85D4E" w:rsidP="00677ED0">
      <w:pPr>
        <w:pStyle w:val="ListParagraph"/>
        <w:numPr>
          <w:ilvl w:val="0"/>
          <w:numId w:val="8"/>
        </w:numPr>
      </w:pPr>
      <w:r w:rsidRPr="002B0721">
        <w:t>&lt;&lt;KITÖLTENDŐ&gt;&gt;</w:t>
      </w:r>
    </w:p>
    <w:p w14:paraId="0CE2C62A" w14:textId="77777777" w:rsidR="0011453E" w:rsidRPr="002B0721" w:rsidRDefault="00E85D4E" w:rsidP="0011453E">
      <w:pPr>
        <w:pStyle w:val="Heading2"/>
      </w:pPr>
      <w:r w:rsidRPr="002B0721">
        <w:t>Javasolt döntés(</w:t>
      </w:r>
      <w:proofErr w:type="spellStart"/>
      <w:r w:rsidRPr="002B0721">
        <w:t>ek</w:t>
      </w:r>
      <w:proofErr w:type="spellEnd"/>
      <w:r w:rsidRPr="002B0721">
        <w:t>) és priorizált beavatkozások</w:t>
      </w:r>
    </w:p>
    <w:p w14:paraId="5C6F99DD" w14:textId="77777777" w:rsidR="00E93DBB" w:rsidRDefault="00032A4C">
      <w:pPr>
        <w:pStyle w:val="Infobox"/>
      </w:pPr>
      <w:r>
        <w:t xml:space="preserve">INFOBOX: Ez az alfejezet azt mutassa be, hogy a feltárt problémákra milyen beavatkozási csomagok adhatók, és ezek közül melyek indokoltak rövid, közép- vagy hosszú távon. A döntési opciók legyenek világosan elkülönítettek, összehasonlíthatók és a várható hatás, költség, időigény, illetve szervezeti terhelés szempontjából is értékelhetők. Célszerű megkülönböztetni a gyorsan végrehajtható korrekciókat a mélyebb tantervi vagy szervezeti reformoktól. A cél nem pusztán javaslatok felsorolása, hanem valódi döntéstámogatás. </w:t>
      </w:r>
    </w:p>
    <w:p w14:paraId="72D8F6EC" w14:textId="7ABA6989" w:rsidR="00DA0DBC" w:rsidRDefault="00032A4C">
      <w:pPr>
        <w:pStyle w:val="Infobox"/>
      </w:pPr>
      <w:r>
        <w:t>Kapcsolódó ESG: 1.1 Minőségbiztosítási politika, 1.2 A képzési programok kialakítása és jóváhagyása, 1.9 A képzési programok folyamatos figyelemmel kísérése és rendszeres értékelése.</w:t>
      </w:r>
    </w:p>
    <w:p w14:paraId="0885A862" w14:textId="77777777" w:rsidR="00E85D4E" w:rsidRPr="002B0721" w:rsidRDefault="00E85D4E" w:rsidP="00E85D4E">
      <w:pPr>
        <w:rPr>
          <w:i/>
          <w:color w:val="005A9C"/>
        </w:rPr>
      </w:pPr>
      <w:r w:rsidRPr="002B0721">
        <w:rPr>
          <w:i/>
          <w:color w:val="005A9C"/>
        </w:rPr>
        <w:t>&lt;&lt;</w:t>
      </w:r>
      <w:proofErr w:type="spellStart"/>
      <w:r w:rsidRPr="002B0721">
        <w:rPr>
          <w:i/>
          <w:color w:val="005A9C"/>
        </w:rPr>
        <w:t>max</w:t>
      </w:r>
      <w:proofErr w:type="spellEnd"/>
      <w:r w:rsidRPr="002B0721">
        <w:rPr>
          <w:i/>
          <w:color w:val="005A9C"/>
        </w:rPr>
        <w:t>. 5 beavatkozás&gt;&gt;</w:t>
      </w:r>
    </w:p>
    <w:p w14:paraId="0A9979C4" w14:textId="77777777" w:rsidR="0011453E" w:rsidRPr="002B0721" w:rsidRDefault="0011453E" w:rsidP="00E85D4E"/>
    <w:p w14:paraId="3CE11697" w14:textId="77777777" w:rsidR="00E85D4E" w:rsidRPr="002B0721" w:rsidRDefault="00E85D4E" w:rsidP="00E85D4E">
      <w:r w:rsidRPr="002B0721">
        <w:t>Döntési opciók (min. 2-3 alternatíva)</w:t>
      </w:r>
    </w:p>
    <w:tbl>
      <w:tblPr>
        <w:tblStyle w:val="GridTable5Dark-Accent1"/>
        <w:tblW w:w="0" w:type="auto"/>
        <w:tblLayout w:type="fixed"/>
        <w:tblLook w:val="04A0" w:firstRow="1" w:lastRow="0" w:firstColumn="1" w:lastColumn="0" w:noHBand="0" w:noVBand="1"/>
      </w:tblPr>
      <w:tblGrid>
        <w:gridCol w:w="846"/>
        <w:gridCol w:w="1516"/>
        <w:gridCol w:w="1675"/>
        <w:gridCol w:w="1675"/>
        <w:gridCol w:w="1675"/>
        <w:gridCol w:w="1675"/>
      </w:tblGrid>
      <w:tr w:rsidR="00E85D4E" w:rsidRPr="002B0721" w14:paraId="57F3EC60" w14:textId="77777777" w:rsidTr="00114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22C7626" w14:textId="77777777" w:rsidR="00E85D4E" w:rsidRPr="002B0721" w:rsidRDefault="00E85D4E" w:rsidP="00D92C6C">
            <w:pPr>
              <w:rPr>
                <w:sz w:val="18"/>
                <w:szCs w:val="18"/>
              </w:rPr>
            </w:pPr>
            <w:r w:rsidRPr="002B0721">
              <w:rPr>
                <w:sz w:val="18"/>
                <w:szCs w:val="18"/>
              </w:rPr>
              <w:lastRenderedPageBreak/>
              <w:t>Opció</w:t>
            </w:r>
          </w:p>
        </w:tc>
        <w:tc>
          <w:tcPr>
            <w:tcW w:w="1516" w:type="dxa"/>
          </w:tcPr>
          <w:p w14:paraId="1EBD5ABC" w14:textId="77777777" w:rsidR="00E85D4E" w:rsidRPr="002B0721" w:rsidRDefault="00E85D4E" w:rsidP="0011453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Leírás</w:t>
            </w:r>
          </w:p>
        </w:tc>
        <w:tc>
          <w:tcPr>
            <w:tcW w:w="1675" w:type="dxa"/>
          </w:tcPr>
          <w:p w14:paraId="614EAA59" w14:textId="77777777" w:rsidR="00E85D4E" w:rsidRPr="002B0721" w:rsidRDefault="00E85D4E" w:rsidP="0011453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 (KPI)</w:t>
            </w:r>
          </w:p>
        </w:tc>
        <w:tc>
          <w:tcPr>
            <w:tcW w:w="1675" w:type="dxa"/>
          </w:tcPr>
          <w:p w14:paraId="21EA002F" w14:textId="77777777" w:rsidR="00E85D4E" w:rsidRPr="002B0721" w:rsidRDefault="00E85D4E" w:rsidP="0011453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 / költség</w:t>
            </w:r>
            <w:r w:rsidR="0011453E" w:rsidRPr="002B0721">
              <w:rPr>
                <w:sz w:val="18"/>
                <w:szCs w:val="18"/>
              </w:rPr>
              <w:t xml:space="preserve"> igény</w:t>
            </w:r>
          </w:p>
        </w:tc>
        <w:tc>
          <w:tcPr>
            <w:tcW w:w="1675" w:type="dxa"/>
          </w:tcPr>
          <w:p w14:paraId="2915DB79" w14:textId="77777777" w:rsidR="00E85D4E" w:rsidRPr="002B0721" w:rsidRDefault="00E85D4E" w:rsidP="0011453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 (hónap)</w:t>
            </w:r>
          </w:p>
        </w:tc>
        <w:tc>
          <w:tcPr>
            <w:tcW w:w="1675" w:type="dxa"/>
          </w:tcPr>
          <w:p w14:paraId="469186FA" w14:textId="77777777" w:rsidR="00E85D4E" w:rsidRPr="002B0721" w:rsidRDefault="00E85D4E" w:rsidP="0011453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Fő kockázat + </w:t>
            </w:r>
            <w:proofErr w:type="spellStart"/>
            <w:r w:rsidRPr="002B0721">
              <w:rPr>
                <w:sz w:val="18"/>
                <w:szCs w:val="18"/>
              </w:rPr>
              <w:t>mitigáció</w:t>
            </w:r>
            <w:proofErr w:type="spellEnd"/>
          </w:p>
        </w:tc>
      </w:tr>
      <w:tr w:rsidR="00E85D4E" w:rsidRPr="002B0721" w14:paraId="3719671C" w14:textId="77777777" w:rsidTr="0011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3C00A9F" w14:textId="77777777" w:rsidR="00E85D4E" w:rsidRPr="002B0721" w:rsidRDefault="00E85D4E" w:rsidP="00D92C6C">
            <w:pPr>
              <w:rPr>
                <w:sz w:val="18"/>
                <w:szCs w:val="18"/>
              </w:rPr>
            </w:pPr>
            <w:r w:rsidRPr="002B0721">
              <w:rPr>
                <w:sz w:val="18"/>
                <w:szCs w:val="18"/>
              </w:rPr>
              <w:t>Opció 1</w:t>
            </w:r>
          </w:p>
        </w:tc>
        <w:tc>
          <w:tcPr>
            <w:tcW w:w="1516" w:type="dxa"/>
          </w:tcPr>
          <w:p w14:paraId="3964573F"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5973CB6D"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4A4FEFA3"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77A90E49"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2B961110"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E85D4E" w:rsidRPr="002B0721" w14:paraId="1785A3CC" w14:textId="77777777" w:rsidTr="0011453E">
        <w:tc>
          <w:tcPr>
            <w:cnfStyle w:val="001000000000" w:firstRow="0" w:lastRow="0" w:firstColumn="1" w:lastColumn="0" w:oddVBand="0" w:evenVBand="0" w:oddHBand="0" w:evenHBand="0" w:firstRowFirstColumn="0" w:firstRowLastColumn="0" w:lastRowFirstColumn="0" w:lastRowLastColumn="0"/>
            <w:tcW w:w="846" w:type="dxa"/>
          </w:tcPr>
          <w:p w14:paraId="64955DE8" w14:textId="77777777" w:rsidR="00E85D4E" w:rsidRPr="002B0721" w:rsidRDefault="00E85D4E" w:rsidP="00D92C6C">
            <w:pPr>
              <w:rPr>
                <w:sz w:val="18"/>
                <w:szCs w:val="18"/>
              </w:rPr>
            </w:pPr>
            <w:r w:rsidRPr="002B0721">
              <w:rPr>
                <w:sz w:val="18"/>
                <w:szCs w:val="18"/>
              </w:rPr>
              <w:t>Opció 2</w:t>
            </w:r>
          </w:p>
        </w:tc>
        <w:tc>
          <w:tcPr>
            <w:tcW w:w="1516" w:type="dxa"/>
          </w:tcPr>
          <w:p w14:paraId="51408B16" w14:textId="77777777" w:rsidR="00E85D4E" w:rsidRPr="002B0721" w:rsidRDefault="00E85D4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75" w:type="dxa"/>
          </w:tcPr>
          <w:p w14:paraId="3424A3DC" w14:textId="77777777" w:rsidR="00E85D4E" w:rsidRPr="002B0721" w:rsidRDefault="00E85D4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75" w:type="dxa"/>
          </w:tcPr>
          <w:p w14:paraId="7CAEF2BB" w14:textId="77777777" w:rsidR="00E85D4E" w:rsidRPr="002B0721" w:rsidRDefault="00E85D4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75" w:type="dxa"/>
          </w:tcPr>
          <w:p w14:paraId="5EA2D888" w14:textId="77777777" w:rsidR="00E85D4E" w:rsidRPr="002B0721" w:rsidRDefault="00E85D4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75" w:type="dxa"/>
          </w:tcPr>
          <w:p w14:paraId="2859C920" w14:textId="77777777" w:rsidR="00E85D4E" w:rsidRPr="002B0721" w:rsidRDefault="00E85D4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E85D4E" w:rsidRPr="002B0721" w14:paraId="398ECF7A" w14:textId="77777777" w:rsidTr="0011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CE99469" w14:textId="77777777" w:rsidR="00E85D4E" w:rsidRPr="002B0721" w:rsidRDefault="00E85D4E" w:rsidP="00D92C6C">
            <w:pPr>
              <w:rPr>
                <w:sz w:val="18"/>
                <w:szCs w:val="18"/>
              </w:rPr>
            </w:pPr>
            <w:r w:rsidRPr="002B0721">
              <w:rPr>
                <w:sz w:val="18"/>
                <w:szCs w:val="18"/>
              </w:rPr>
              <w:t>Opció 3</w:t>
            </w:r>
          </w:p>
        </w:tc>
        <w:tc>
          <w:tcPr>
            <w:tcW w:w="1516" w:type="dxa"/>
          </w:tcPr>
          <w:p w14:paraId="27EF6F0A"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2783A5E1"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007F7B04"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359EE680"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75" w:type="dxa"/>
          </w:tcPr>
          <w:p w14:paraId="2BFD901F" w14:textId="77777777" w:rsidR="00E85D4E" w:rsidRPr="002B0721" w:rsidRDefault="00E85D4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bl>
    <w:p w14:paraId="36BA4979" w14:textId="77777777" w:rsidR="0011453E" w:rsidRPr="002B0721" w:rsidRDefault="00E85D4E" w:rsidP="0011453E">
      <w:pPr>
        <w:pStyle w:val="Heading2"/>
      </w:pPr>
      <w:r w:rsidRPr="002B0721">
        <w:t xml:space="preserve">Fő kockázatok és </w:t>
      </w:r>
      <w:proofErr w:type="spellStart"/>
      <w:r w:rsidR="0011453E" w:rsidRPr="002B0721">
        <w:t>mitigáció</w:t>
      </w:r>
      <w:proofErr w:type="spellEnd"/>
    </w:p>
    <w:p w14:paraId="6EDAB742" w14:textId="77777777" w:rsidR="00E93DBB" w:rsidRDefault="00032A4C">
      <w:pPr>
        <w:pStyle w:val="Infobox"/>
      </w:pPr>
      <w:r>
        <w:t xml:space="preserve">INFOBOX: Ebben a részben a javasolt változtatások megvalósítását veszélyeztető fő kockázatokat kell azonosítani és röviden értékelni. Minden kockázatnál jelezze a kiváltó okot, a várható következményt, valamint azt, miből lehet időben felismerni a probléma kialakulását. A </w:t>
      </w:r>
      <w:proofErr w:type="spellStart"/>
      <w:r>
        <w:t>mitigáció</w:t>
      </w:r>
      <w:proofErr w:type="spellEnd"/>
      <w:r>
        <w:t xml:space="preserve"> ne általános szándéknyilatkozat legyen, hanem konkrét kockázatcsökkentő intézkedés, felelőssel és lehetőség szerint határidővel. Érdemes külön feltüntetni a maradék kockázatot és azt is, ha bizonyos feltételek mellett a kockázat elfogadható. </w:t>
      </w:r>
    </w:p>
    <w:p w14:paraId="23A16BBE" w14:textId="406E9F1B" w:rsidR="00DA0DBC" w:rsidRDefault="00032A4C">
      <w:pPr>
        <w:pStyle w:val="Infobox"/>
      </w:pPr>
      <w:r>
        <w:t>Kapcsolódó ESG: 1.1 Minőségbiztosítási politika és 1.9 A képzési programok folyamatos figyelemmel kísérése és rendszeres értékelése.</w:t>
      </w:r>
    </w:p>
    <w:p w14:paraId="02AF2820" w14:textId="77777777" w:rsidR="00E85D4E" w:rsidRPr="002B0721" w:rsidRDefault="00E85D4E" w:rsidP="00E85D4E">
      <w:r w:rsidRPr="002B0721">
        <w:rPr>
          <w:i/>
          <w:color w:val="005A9C"/>
        </w:rPr>
        <w:t>&lt;&lt;</w:t>
      </w:r>
      <w:proofErr w:type="spellStart"/>
      <w:r w:rsidRPr="002B0721">
        <w:rPr>
          <w:i/>
          <w:color w:val="005A9C"/>
        </w:rPr>
        <w:t>max</w:t>
      </w:r>
      <w:proofErr w:type="spellEnd"/>
      <w:r w:rsidRPr="002B0721">
        <w:rPr>
          <w:i/>
          <w:color w:val="005A9C"/>
        </w:rPr>
        <w:t>. 5 kockázat</w:t>
      </w:r>
      <w:r w:rsidR="0011453E" w:rsidRPr="002B0721">
        <w:rPr>
          <w:i/>
          <w:color w:val="005A9C"/>
        </w:rPr>
        <w:t xml:space="preserve"> és kapcsolódó kockázatcsökkentés (</w:t>
      </w:r>
      <w:proofErr w:type="spellStart"/>
      <w:r w:rsidR="0011453E" w:rsidRPr="002B0721">
        <w:rPr>
          <w:i/>
          <w:color w:val="005A9C"/>
        </w:rPr>
        <w:t>mitigáció</w:t>
      </w:r>
      <w:proofErr w:type="spellEnd"/>
      <w:r w:rsidR="0011453E" w:rsidRPr="002B0721">
        <w:rPr>
          <w:i/>
          <w:color w:val="005A9C"/>
        </w:rPr>
        <w:t>)</w:t>
      </w:r>
      <w:r w:rsidRPr="002B0721">
        <w:rPr>
          <w:i/>
          <w:color w:val="005A9C"/>
        </w:rPr>
        <w:t>&gt;&gt;</w:t>
      </w:r>
    </w:p>
    <w:p w14:paraId="14A30DC6" w14:textId="77777777" w:rsidR="00E85D4E" w:rsidRPr="002B0721" w:rsidRDefault="00E85D4E"/>
    <w:p w14:paraId="4E54169C" w14:textId="77777777" w:rsidR="0011453E" w:rsidRPr="002B0721" w:rsidRDefault="0011453E">
      <w:pPr>
        <w:spacing w:after="160" w:line="259" w:lineRule="auto"/>
        <w:jc w:val="left"/>
      </w:pPr>
      <w:r w:rsidRPr="002B0721">
        <w:br w:type="page"/>
      </w:r>
    </w:p>
    <w:p w14:paraId="0AF43990" w14:textId="77777777" w:rsidR="0011453E" w:rsidRPr="002B0721" w:rsidRDefault="0011453E" w:rsidP="0011453E">
      <w:pPr>
        <w:pStyle w:val="Heading1"/>
      </w:pPr>
      <w:r w:rsidRPr="002B0721">
        <w:lastRenderedPageBreak/>
        <w:t>Kontextus és képzési profil</w:t>
      </w:r>
    </w:p>
    <w:p w14:paraId="6FB25E2C" w14:textId="77777777" w:rsidR="00E93DBB" w:rsidRDefault="00032A4C">
      <w:pPr>
        <w:pStyle w:val="Infobox"/>
      </w:pPr>
      <w:r>
        <w:t xml:space="preserve">INFOBOX: Ez a fejezet rögzíti, hogy a képzés milyen intézményi és szakmai térben értelmezhető, ezért itt kell bemutatni a program identitását és alaplogikáját. A későbbi értékelések csak akkor lesznek megalapozottak, ha egyértelmű, milyen küldetést teljesít a szak, kiknek szól, és milyen kimenetet ígér. Mutassa be a program fő sajátosságait, megkülönböztető elemeit és a kapcsolódó karrier- vagy továbbtanulási utakat. Célszerű röviden jelezni azt is, hogy a program milyen hazai vagy nemzetközi mezőnyben versenyez, és milyen stratégiai szerepet tölt be a BME kínálatában. </w:t>
      </w:r>
    </w:p>
    <w:p w14:paraId="56510973" w14:textId="2259F255" w:rsidR="00DA0DBC" w:rsidRDefault="00032A4C">
      <w:pPr>
        <w:pStyle w:val="Infobox"/>
      </w:pPr>
      <w:r>
        <w:t>Kapcsolódó ESG: 1.2 A képzési programok kialakítása és jóváhagyása, 1.8 Nyilvános információk, 1.9 A képzési programok folyamatos figyelemmel kísérése és rendszeres értékelése.</w:t>
      </w:r>
    </w:p>
    <w:p w14:paraId="5F822DF6" w14:textId="64820F54" w:rsidR="00E93DBB" w:rsidRDefault="00E93DBB" w:rsidP="00E93DBB">
      <w:r>
        <w:t>Ide írja a bevezető szöveget (pl. a szak történeti háttere, küldetésnyilatkozata) ha az releváns és szükséges.</w:t>
      </w:r>
    </w:p>
    <w:p w14:paraId="4B1EEDF6" w14:textId="57B540C2" w:rsidR="0011453E" w:rsidRPr="002B0721" w:rsidRDefault="0011453E" w:rsidP="0011453E">
      <w:pPr>
        <w:pStyle w:val="Heading2"/>
      </w:pPr>
      <w:r w:rsidRPr="002B0721">
        <w:t>Program küldetés és értékajánlat</w:t>
      </w:r>
    </w:p>
    <w:p w14:paraId="5B1D40BD" w14:textId="77777777" w:rsidR="00E93DBB" w:rsidRDefault="00032A4C">
      <w:pPr>
        <w:pStyle w:val="Infobox"/>
      </w:pPr>
      <w:r>
        <w:t xml:space="preserve">INFOBOX: Itt azt kell összefoglalni, hogy a képzés milyen egyedi értéket kínál a hallgatóknak, a munkaerőpiacnak és az egyetemnek. A leírás térjen ki arra, hogy a program milyen problémára vagy igényre ad választ, milyen kompetenciaígérettel lép fel, és miben különbözik más, hasonló programoktól. Fontos, hogy az értékajánlat ne marketingüzenet legyen, hanem a programtervezést is irányító szakmai állítás. Célszerű azt is jelezni, hogy ez az értékajánlat mennyiben támasztható alá hallgatói, </w:t>
      </w:r>
      <w:proofErr w:type="spellStart"/>
      <w:r>
        <w:t>alumni</w:t>
      </w:r>
      <w:proofErr w:type="spellEnd"/>
      <w:r>
        <w:t xml:space="preserve"> vagy munkaadói visszajelzésekkel. </w:t>
      </w:r>
    </w:p>
    <w:p w14:paraId="7C9BE2B6" w14:textId="6C92E9B9" w:rsidR="00DA0DBC" w:rsidRDefault="00032A4C">
      <w:pPr>
        <w:pStyle w:val="Infobox"/>
      </w:pPr>
      <w:r>
        <w:t>Kapcsolódó ESG: 1.1 Minőségbiztosítási politika, 1.2 A képzési programok kialakítása és jóváhagyása, 1.8 Nyilvános információk.</w:t>
      </w:r>
    </w:p>
    <w:p w14:paraId="035552FC" w14:textId="77777777" w:rsidR="0011453E" w:rsidRPr="002B0721" w:rsidRDefault="0011453E" w:rsidP="0011453E">
      <w:r w:rsidRPr="002B0721">
        <w:rPr>
          <w:i/>
          <w:color w:val="005A9C"/>
        </w:rPr>
        <w:t>&lt;&lt;KITÖLTENDŐ&gt;&gt;</w:t>
      </w:r>
    </w:p>
    <w:p w14:paraId="7B5D528D" w14:textId="77777777" w:rsidR="0011453E" w:rsidRPr="002B0721" w:rsidRDefault="0011453E" w:rsidP="0011453E">
      <w:pPr>
        <w:pStyle w:val="Heading2"/>
      </w:pPr>
      <w:r w:rsidRPr="002B0721">
        <w:t>Célcsoport-szegmensek</w:t>
      </w:r>
    </w:p>
    <w:p w14:paraId="7705457B" w14:textId="77777777" w:rsidR="00E93DBB" w:rsidRDefault="00032A4C">
      <w:pPr>
        <w:pStyle w:val="Infobox"/>
      </w:pPr>
      <w:r>
        <w:t xml:space="preserve">INFOBOX: Ebben az alfejezetben ne egységes hallgatói tömeget feltételezzen, hanem azonosítsa a legfontosabb célcsoportokat és azok eltérő igényeit. Térjen ki például a nappali és levelező hallgatókra, a munkavégzés mellett tanulókra, a nemzetközi hallgatókra, illetve a különböző belépési háttérrel érkezőkre. Mutassa be, hogy ezek a csoportok milyen elvárásokat támasztanak a tantervvel, az oktatásszervezéssel és a támogatásokkal szemben. Az elemzés segít eldönteni, hogy a program jelenlegi struktúrája mennyire igazodik a valós hallgatói sokféleséghez. </w:t>
      </w:r>
    </w:p>
    <w:p w14:paraId="4634F697" w14:textId="0C49671C" w:rsidR="00DA0DBC" w:rsidRDefault="00032A4C">
      <w:pPr>
        <w:pStyle w:val="Infobox"/>
      </w:pPr>
      <w:r>
        <w:t>Kapcsolódó ESG: 1.3 Hallgatóközpontú tanulás, tanítás és értékelés, 1.4 A hallgatók felvétele, előrehaladása, tanulmányaik elismerése és a képesítés odaítélése, 1.6 Tanulástámogatás és hallgatói szolgáltatások.</w:t>
      </w:r>
    </w:p>
    <w:p w14:paraId="78E4EA13" w14:textId="77777777" w:rsidR="0011453E" w:rsidRPr="002B0721" w:rsidRDefault="0011453E" w:rsidP="0011453E">
      <w:r w:rsidRPr="002B0721">
        <w:rPr>
          <w:i/>
          <w:color w:val="005A9C"/>
        </w:rPr>
        <w:t>&lt;&lt;pl. nappali/levelező; képzés mellett dolgozó hallgató; nemzetközi; a célcsoportok sajátos igényei a képzéssel szemben&gt;&gt;</w:t>
      </w:r>
    </w:p>
    <w:p w14:paraId="00F4D856" w14:textId="77777777" w:rsidR="0011453E" w:rsidRPr="002B0721" w:rsidRDefault="0011453E" w:rsidP="0011453E">
      <w:pPr>
        <w:pStyle w:val="Heading2"/>
      </w:pPr>
      <w:r w:rsidRPr="002B0721">
        <w:t>Kimeneti profil (kompetenciák, tipikus munkakörök)</w:t>
      </w:r>
    </w:p>
    <w:p w14:paraId="4FF59039" w14:textId="77777777" w:rsidR="00E93DBB" w:rsidRDefault="00032A4C">
      <w:pPr>
        <w:pStyle w:val="Infobox"/>
      </w:pPr>
      <w:r>
        <w:t>INFOBOX: Itt azt kell bemutatni, hogy a végzett hallgató milyen tudással, készségekkel és attitűdökkel rendelkezik, és ezek milyen tipikus pályautakra jogosítják fel. A kimeneti profil legyen összhangban a KKK-</w:t>
      </w:r>
      <w:proofErr w:type="spellStart"/>
      <w:r>
        <w:t>val</w:t>
      </w:r>
      <w:proofErr w:type="spellEnd"/>
      <w:r>
        <w:t>, a képesítési szinttel, valamint a program deklarált küldetésével. Célszerű külön jelezni a legtipikusabb munkaköröket</w:t>
      </w:r>
      <w:r w:rsidR="00E93DBB">
        <w:t xml:space="preserve"> (FEOR)</w:t>
      </w:r>
      <w:r>
        <w:t xml:space="preserve">, továbbtanulási irányokat és azokat a kompetenciákat, amelyeket a munkaadók vagy a szakmai közeg különösen fontosnak tartanak. Ez a rész teremti meg a kapcsolatot a programcélok, a tantervi tartalom és a munkaerőpiaci relevancia között. </w:t>
      </w:r>
    </w:p>
    <w:p w14:paraId="4C1C116A" w14:textId="11B460E3" w:rsidR="00DA0DBC" w:rsidRDefault="00032A4C">
      <w:pPr>
        <w:pStyle w:val="Infobox"/>
      </w:pPr>
      <w:r>
        <w:t>Kapcsolódó ESG: 1.2 A képzési programok kialakítása és jóváhagyása, 1.4 A hallgatók felvétele, előrehaladása, tanulmányaik elismerése és a képesítés odaítélése, 1.8 Nyilvános információk.</w:t>
      </w:r>
    </w:p>
    <w:p w14:paraId="6BD4F5DC" w14:textId="77777777" w:rsidR="0011453E" w:rsidRPr="002B0721" w:rsidRDefault="0011453E" w:rsidP="0011453E">
      <w:r w:rsidRPr="002B0721">
        <w:rPr>
          <w:i/>
          <w:color w:val="005A9C"/>
        </w:rPr>
        <w:t>&lt;&lt;karrierutak, pl. továbbtanulási hajlandóság és célok alapszakok esetében; munkaerőpiaci elhelyezkedés [FEOR, TEÁOR] mesterszakok esetében&gt;&gt;</w:t>
      </w:r>
    </w:p>
    <w:p w14:paraId="63E8E2DE" w14:textId="77777777" w:rsidR="0011453E" w:rsidRPr="002B0721" w:rsidRDefault="0011453E" w:rsidP="005A29DE">
      <w:pPr>
        <w:pStyle w:val="Heading2"/>
      </w:pPr>
      <w:r w:rsidRPr="002B0721">
        <w:t xml:space="preserve">Képzési (tantervi) struktúra röviden </w:t>
      </w:r>
    </w:p>
    <w:p w14:paraId="22502B5C" w14:textId="77777777" w:rsidR="00E93DBB" w:rsidRDefault="00032A4C">
      <w:pPr>
        <w:pStyle w:val="Infobox"/>
      </w:pPr>
      <w:r>
        <w:t xml:space="preserve">INFOBOX: Ebben az alfejezetben a tanterv szerkezeti logikáját kell röviden és áttekinthetően bemutatni. Térjen ki a fő modulokra, tantárgycsoportokra, előkövetelményi kapcsolatokra, választhatósági elemekre és a program </w:t>
      </w:r>
      <w:r>
        <w:lastRenderedPageBreak/>
        <w:t xml:space="preserve">profilt adó sajátosságaira. A leírás akkor jó, ha a későbbi részletes értékelésekhez eligazítást ad arról, hogyan épül fel a hallgatói tanulási út. Érdemes röviden utalni arra is, hogy a szerkezet mennyiben támogatja a zökkenőmentes előrehaladást és a tanulási eredmények fokozatos felépítését. </w:t>
      </w:r>
    </w:p>
    <w:p w14:paraId="785458DA" w14:textId="1AAAB78C" w:rsidR="00DA0DBC" w:rsidRDefault="00032A4C">
      <w:pPr>
        <w:pStyle w:val="Infobox"/>
      </w:pPr>
      <w:r>
        <w:t>Kapcsolódó ESG: 1.2 A képzési programok kialakítása és jóváhagyása, 1.3 Hallgatóközpontú tanulás, tanítás és értékelés, 1.9 A képzési programok folyamatos figyelemmel kísérése és rendszeres értékelése.</w:t>
      </w:r>
    </w:p>
    <w:p w14:paraId="56E1AD36" w14:textId="77777777" w:rsidR="0011453E" w:rsidRPr="002B0721" w:rsidRDefault="0011453E" w:rsidP="0011453E">
      <w:r w:rsidRPr="002B0721">
        <w:rPr>
          <w:i/>
          <w:color w:val="005A9C"/>
        </w:rPr>
        <w:t>&lt;&lt;Modulok/tantárgycsoportok/ismeretkörök, specializációk</w:t>
      </w:r>
      <w:r w:rsidR="005A29DE" w:rsidRPr="002B0721">
        <w:rPr>
          <w:i/>
          <w:color w:val="005A9C"/>
        </w:rPr>
        <w:t>, alapvető és sajátos (profilt adó) szerkezeti és tartalmi elemek</w:t>
      </w:r>
      <w:r w:rsidRPr="002B0721">
        <w:rPr>
          <w:i/>
          <w:color w:val="005A9C"/>
        </w:rPr>
        <w:t>&gt;&gt;</w:t>
      </w:r>
    </w:p>
    <w:p w14:paraId="2ABEE0F0" w14:textId="77777777" w:rsidR="0011453E" w:rsidRPr="002B0721" w:rsidRDefault="0011453E" w:rsidP="0011453E"/>
    <w:p w14:paraId="77C81560" w14:textId="77777777" w:rsidR="0011453E" w:rsidRPr="002B0721" w:rsidRDefault="0011453E" w:rsidP="005A29DE">
      <w:pPr>
        <w:pStyle w:val="Heading2"/>
      </w:pPr>
      <w:r w:rsidRPr="002B0721">
        <w:t>Európai benchmark (3-5 összehasonlító program)</w:t>
      </w:r>
    </w:p>
    <w:p w14:paraId="03BFC486" w14:textId="77777777" w:rsidR="00E93DBB" w:rsidRDefault="00032A4C">
      <w:pPr>
        <w:pStyle w:val="Infobox"/>
      </w:pPr>
      <w:r>
        <w:t>INFOBOX: Itt legalább 3–5 releváns európai program rövid összevetésével kell bemutatni, hogy a vizsgált szak milyen nemzetközi kontextusban helyezhető el. A benchmark ne pusztán intézménylistát adjon, hanem mutassa meg a fő fókuszokat, a tantervi struktúrát, a rugalmasságot, a WIL</w:t>
      </w:r>
      <w:r w:rsidR="00E93DBB" w:rsidRPr="002B0721">
        <w:rPr>
          <w:rStyle w:val="FootnoteReference"/>
          <w:color w:val="444444"/>
          <w:sz w:val="20"/>
        </w:rPr>
        <w:footnoteReference w:id="1"/>
      </w:r>
      <w:r>
        <w:t>/</w:t>
      </w:r>
      <w:proofErr w:type="spellStart"/>
      <w:r>
        <w:t>mikrotanúsítvány</w:t>
      </w:r>
      <w:proofErr w:type="spellEnd"/>
      <w:r>
        <w:t xml:space="preserve"> jellegű elemeket és az értékelési sajátosságokat. Fontos, hogy a külföldi jó gyakorlatokból ne másolási lista, hanem a BME számára értelmezett tanulságok </w:t>
      </w:r>
      <w:proofErr w:type="spellStart"/>
      <w:r>
        <w:t>szülessenek</w:t>
      </w:r>
      <w:proofErr w:type="spellEnd"/>
      <w:r>
        <w:t xml:space="preserve">. A rész akkor hasznos, ha világos választ ad arra, miben versenyképes a szak, és mely pontokon indokolt a megújítás. </w:t>
      </w:r>
    </w:p>
    <w:p w14:paraId="51E8FAEF" w14:textId="1295468A" w:rsidR="00DA0DBC" w:rsidRDefault="00032A4C">
      <w:pPr>
        <w:pStyle w:val="Infobox"/>
      </w:pPr>
      <w:r>
        <w:t>Kapcsolódó ESG: 1.2 A képzési programok kialakítása és jóváhagyása, 1.8 Nyilvános információk, 1.9 A képzési programok folyamatos figyelemmel kísérése és rendszeres értékelése.</w:t>
      </w:r>
    </w:p>
    <w:p w14:paraId="71EF94CA" w14:textId="77777777" w:rsidR="005A29DE" w:rsidRPr="002B0721" w:rsidRDefault="005A29DE"/>
    <w:tbl>
      <w:tblPr>
        <w:tblStyle w:val="GridTable5Dark-Accent1"/>
        <w:tblW w:w="0" w:type="auto"/>
        <w:tblLook w:val="04A0" w:firstRow="1" w:lastRow="0" w:firstColumn="1" w:lastColumn="0" w:noHBand="0" w:noVBand="1"/>
      </w:tblPr>
      <w:tblGrid>
        <w:gridCol w:w="1507"/>
        <w:gridCol w:w="1457"/>
        <w:gridCol w:w="1458"/>
        <w:gridCol w:w="1684"/>
        <w:gridCol w:w="1498"/>
        <w:gridCol w:w="1458"/>
      </w:tblGrid>
      <w:tr w:rsidR="0011453E" w:rsidRPr="002B0721" w14:paraId="21459253" w14:textId="77777777" w:rsidTr="00CE6A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7" w:type="dxa"/>
          </w:tcPr>
          <w:p w14:paraId="3090604E" w14:textId="77777777" w:rsidR="0011453E" w:rsidRPr="002B0721" w:rsidRDefault="0011453E" w:rsidP="005A29DE">
            <w:pPr>
              <w:jc w:val="center"/>
              <w:rPr>
                <w:sz w:val="18"/>
                <w:szCs w:val="18"/>
              </w:rPr>
            </w:pPr>
            <w:r w:rsidRPr="002B0721">
              <w:rPr>
                <w:sz w:val="18"/>
                <w:szCs w:val="18"/>
              </w:rPr>
              <w:t>Intézmény</w:t>
            </w:r>
          </w:p>
        </w:tc>
        <w:tc>
          <w:tcPr>
            <w:tcW w:w="1457" w:type="dxa"/>
          </w:tcPr>
          <w:p w14:paraId="2DCB5E43" w14:textId="77777777" w:rsidR="0011453E" w:rsidRPr="002B0721" w:rsidRDefault="0011453E" w:rsidP="005A29D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Program</w:t>
            </w:r>
            <w:r w:rsidR="005A29DE" w:rsidRPr="002B0721">
              <w:rPr>
                <w:sz w:val="18"/>
                <w:szCs w:val="18"/>
              </w:rPr>
              <w:t xml:space="preserve"> [link]</w:t>
            </w:r>
          </w:p>
        </w:tc>
        <w:tc>
          <w:tcPr>
            <w:tcW w:w="1458" w:type="dxa"/>
          </w:tcPr>
          <w:p w14:paraId="6DEC0694" w14:textId="77777777" w:rsidR="0011453E" w:rsidRPr="002B0721" w:rsidRDefault="0011453E" w:rsidP="005A29D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Ország</w:t>
            </w:r>
          </w:p>
        </w:tc>
        <w:tc>
          <w:tcPr>
            <w:tcW w:w="1684" w:type="dxa"/>
          </w:tcPr>
          <w:p w14:paraId="12C55E98" w14:textId="77777777" w:rsidR="0011453E" w:rsidRPr="002B0721" w:rsidRDefault="0011453E" w:rsidP="005A29D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Fő fókuszok</w:t>
            </w:r>
          </w:p>
        </w:tc>
        <w:tc>
          <w:tcPr>
            <w:tcW w:w="1498" w:type="dxa"/>
          </w:tcPr>
          <w:p w14:paraId="38CAA664" w14:textId="77777777" w:rsidR="0011453E" w:rsidRPr="002B0721" w:rsidRDefault="0011453E" w:rsidP="005A29D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Strukturális sajátosságok</w:t>
            </w:r>
          </w:p>
        </w:tc>
        <w:tc>
          <w:tcPr>
            <w:tcW w:w="1458" w:type="dxa"/>
          </w:tcPr>
          <w:p w14:paraId="515E1482" w14:textId="77777777" w:rsidR="0011453E" w:rsidRPr="002B0721" w:rsidRDefault="0011453E" w:rsidP="005A29DE">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Tanulság </w:t>
            </w:r>
            <w:r w:rsidR="005A29DE" w:rsidRPr="002B0721">
              <w:rPr>
                <w:sz w:val="18"/>
                <w:szCs w:val="18"/>
              </w:rPr>
              <w:t xml:space="preserve">a </w:t>
            </w:r>
            <w:r w:rsidRPr="002B0721">
              <w:rPr>
                <w:sz w:val="18"/>
                <w:szCs w:val="18"/>
              </w:rPr>
              <w:t>BME számára</w:t>
            </w:r>
          </w:p>
        </w:tc>
      </w:tr>
      <w:tr w:rsidR="0011453E" w:rsidRPr="002B0721" w14:paraId="6CDF2FB8" w14:textId="77777777" w:rsidTr="00CE6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050B3E7E" w14:textId="7F14ECB5" w:rsidR="0011453E" w:rsidRPr="00606CCD" w:rsidRDefault="00606CCD" w:rsidP="00D92C6C">
            <w:pPr>
              <w:rPr>
                <w:sz w:val="18"/>
                <w:szCs w:val="18"/>
                <w:highlight w:val="yellow"/>
              </w:rPr>
            </w:pPr>
            <w:proofErr w:type="spellStart"/>
            <w:r w:rsidRPr="006E298E">
              <w:rPr>
                <w:color w:val="000000" w:themeColor="text1"/>
                <w:sz w:val="18"/>
                <w:szCs w:val="18"/>
                <w:highlight w:val="yellow"/>
              </w:rPr>
              <w:t>Technische</w:t>
            </w:r>
            <w:proofErr w:type="spellEnd"/>
            <w:r w:rsidRPr="006E298E">
              <w:rPr>
                <w:color w:val="000000" w:themeColor="text1"/>
                <w:sz w:val="18"/>
                <w:szCs w:val="18"/>
                <w:highlight w:val="yellow"/>
              </w:rPr>
              <w:t xml:space="preserve"> </w:t>
            </w:r>
            <w:proofErr w:type="spellStart"/>
            <w:r w:rsidRPr="006E298E">
              <w:rPr>
                <w:color w:val="000000" w:themeColor="text1"/>
                <w:sz w:val="18"/>
                <w:szCs w:val="18"/>
                <w:highlight w:val="yellow"/>
              </w:rPr>
              <w:t>Universität</w:t>
            </w:r>
            <w:proofErr w:type="spellEnd"/>
            <w:r w:rsidRPr="006E298E">
              <w:rPr>
                <w:color w:val="000000" w:themeColor="text1"/>
                <w:sz w:val="18"/>
                <w:szCs w:val="18"/>
                <w:highlight w:val="yellow"/>
              </w:rPr>
              <w:t xml:space="preserve"> München (TUM)</w:t>
            </w:r>
          </w:p>
        </w:tc>
        <w:tc>
          <w:tcPr>
            <w:tcW w:w="1457" w:type="dxa"/>
          </w:tcPr>
          <w:p w14:paraId="1B690E10" w14:textId="0458B2D7" w:rsidR="0011453E" w:rsidRPr="00606CCD" w:rsidRDefault="00422EB7"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hyperlink r:id="rId8" w:history="1">
              <w:proofErr w:type="spellStart"/>
              <w:r w:rsidR="00606CCD" w:rsidRPr="00606CCD">
                <w:rPr>
                  <w:rStyle w:val="Hyperlink"/>
                  <w:sz w:val="18"/>
                  <w:szCs w:val="18"/>
                  <w:highlight w:val="yellow"/>
                </w:rPr>
                <w:t>Computational</w:t>
              </w:r>
              <w:proofErr w:type="spellEnd"/>
              <w:r w:rsidR="00606CCD" w:rsidRPr="00606CCD">
                <w:rPr>
                  <w:rStyle w:val="Hyperlink"/>
                  <w:sz w:val="18"/>
                  <w:szCs w:val="18"/>
                  <w:highlight w:val="yellow"/>
                </w:rPr>
                <w:t xml:space="preserve"> </w:t>
              </w:r>
              <w:proofErr w:type="spellStart"/>
              <w:r w:rsidR="00606CCD" w:rsidRPr="00606CCD">
                <w:rPr>
                  <w:rStyle w:val="Hyperlink"/>
                  <w:sz w:val="18"/>
                  <w:szCs w:val="18"/>
                  <w:highlight w:val="yellow"/>
                </w:rPr>
                <w:t>Mechanics</w:t>
              </w:r>
              <w:proofErr w:type="spellEnd"/>
              <w:r w:rsidR="00606CCD" w:rsidRPr="00606CCD">
                <w:rPr>
                  <w:rStyle w:val="Hyperlink"/>
                  <w:sz w:val="18"/>
                  <w:szCs w:val="18"/>
                  <w:highlight w:val="yellow"/>
                </w:rPr>
                <w:t xml:space="preserve"> </w:t>
              </w:r>
              <w:proofErr w:type="spellStart"/>
              <w:r w:rsidR="00606CCD" w:rsidRPr="00606CCD">
                <w:rPr>
                  <w:rStyle w:val="Hyperlink"/>
                  <w:sz w:val="18"/>
                  <w:szCs w:val="18"/>
                  <w:highlight w:val="yellow"/>
                </w:rPr>
                <w:t>M.Sc</w:t>
              </w:r>
              <w:proofErr w:type="spellEnd"/>
              <w:r w:rsidR="00606CCD" w:rsidRPr="00606CCD">
                <w:rPr>
                  <w:rStyle w:val="Hyperlink"/>
                  <w:sz w:val="18"/>
                  <w:szCs w:val="18"/>
                  <w:highlight w:val="yellow"/>
                </w:rPr>
                <w:t>.</w:t>
              </w:r>
            </w:hyperlink>
          </w:p>
        </w:tc>
        <w:tc>
          <w:tcPr>
            <w:tcW w:w="1458" w:type="dxa"/>
          </w:tcPr>
          <w:p w14:paraId="284D4EAF" w14:textId="311BB7D9" w:rsidR="0011453E" w:rsidRPr="00606CCD" w:rsidRDefault="00606CCD"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606CCD">
              <w:rPr>
                <w:sz w:val="18"/>
                <w:szCs w:val="18"/>
                <w:highlight w:val="yellow"/>
              </w:rPr>
              <w:t>Németország</w:t>
            </w:r>
          </w:p>
        </w:tc>
        <w:tc>
          <w:tcPr>
            <w:tcW w:w="1684" w:type="dxa"/>
          </w:tcPr>
          <w:p w14:paraId="38D0655E" w14:textId="41A6BE0A" w:rsidR="0011453E" w:rsidRPr="00606CCD" w:rsidRDefault="00606CCD"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606CCD">
              <w:rPr>
                <w:sz w:val="18"/>
                <w:szCs w:val="18"/>
                <w:highlight w:val="yellow"/>
              </w:rPr>
              <w:t>Kontinuummechanika, végeselemes analízis, számítógépes folyadék- és szerkezetdinamika, gépi tanulás mérnöki alkalmazásai.</w:t>
            </w:r>
          </w:p>
        </w:tc>
        <w:tc>
          <w:tcPr>
            <w:tcW w:w="1498" w:type="dxa"/>
          </w:tcPr>
          <w:p w14:paraId="2DCDA02A" w14:textId="40F8A439" w:rsidR="0011453E" w:rsidRPr="00606CCD" w:rsidRDefault="00606CCD"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606CCD">
              <w:rPr>
                <w:sz w:val="18"/>
                <w:szCs w:val="18"/>
                <w:highlight w:val="yellow"/>
              </w:rPr>
              <w:t xml:space="preserve">120 ECTS, 2 év, az első szemeszter egy bevezető szemeszter alapozó tárgyakkal (szilárd- és folyadékmechanika, C++ programozás), ezt követően két választható katalógus: „Modelling &amp; </w:t>
            </w:r>
            <w:proofErr w:type="spellStart"/>
            <w:r w:rsidRPr="00606CCD">
              <w:rPr>
                <w:sz w:val="18"/>
                <w:szCs w:val="18"/>
                <w:highlight w:val="yellow"/>
              </w:rPr>
              <w:t>Mechanics</w:t>
            </w:r>
            <w:proofErr w:type="spellEnd"/>
            <w:r w:rsidRPr="00606CCD">
              <w:rPr>
                <w:sz w:val="18"/>
                <w:szCs w:val="18"/>
                <w:highlight w:val="yellow"/>
              </w:rPr>
              <w:t xml:space="preserve">" és „Data, </w:t>
            </w:r>
            <w:proofErr w:type="spellStart"/>
            <w:r w:rsidRPr="00606CCD">
              <w:rPr>
                <w:sz w:val="18"/>
                <w:szCs w:val="18"/>
                <w:highlight w:val="yellow"/>
              </w:rPr>
              <w:t>Uncertainty</w:t>
            </w:r>
            <w:proofErr w:type="spellEnd"/>
            <w:r w:rsidRPr="00606CCD">
              <w:rPr>
                <w:sz w:val="18"/>
                <w:szCs w:val="18"/>
                <w:highlight w:val="yellow"/>
              </w:rPr>
              <w:t xml:space="preserve"> &amp; </w:t>
            </w:r>
            <w:proofErr w:type="spellStart"/>
            <w:r w:rsidRPr="00606CCD">
              <w:rPr>
                <w:sz w:val="18"/>
                <w:szCs w:val="18"/>
                <w:highlight w:val="yellow"/>
              </w:rPr>
              <w:t>Computing</w:t>
            </w:r>
            <w:proofErr w:type="spellEnd"/>
            <w:r w:rsidRPr="00606CCD">
              <w:rPr>
                <w:sz w:val="18"/>
                <w:szCs w:val="18"/>
                <w:highlight w:val="yellow"/>
              </w:rPr>
              <w:t>".</w:t>
            </w:r>
          </w:p>
        </w:tc>
        <w:tc>
          <w:tcPr>
            <w:tcW w:w="1458" w:type="dxa"/>
          </w:tcPr>
          <w:p w14:paraId="44863D01" w14:textId="287449A6" w:rsidR="0011453E" w:rsidRPr="00606CCD" w:rsidRDefault="00606CCD"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606CCD">
              <w:rPr>
                <w:sz w:val="18"/>
                <w:szCs w:val="18"/>
                <w:highlight w:val="yellow"/>
              </w:rPr>
              <w:t xml:space="preserve">Az </w:t>
            </w:r>
            <w:proofErr w:type="spellStart"/>
            <w:r w:rsidRPr="00606CCD">
              <w:rPr>
                <w:sz w:val="18"/>
                <w:szCs w:val="18"/>
                <w:highlight w:val="yellow"/>
              </w:rPr>
              <w:t>adatvezérelt</w:t>
            </w:r>
            <w:proofErr w:type="spellEnd"/>
            <w:r w:rsidRPr="00606CCD">
              <w:rPr>
                <w:sz w:val="18"/>
                <w:szCs w:val="18"/>
                <w:highlight w:val="yellow"/>
              </w:rPr>
              <w:t xml:space="preserve"> mérnöki módszerek (AI/</w:t>
            </w:r>
            <w:r w:rsidR="00717892">
              <w:rPr>
                <w:sz w:val="18"/>
                <w:szCs w:val="18"/>
                <w:highlight w:val="yellow"/>
              </w:rPr>
              <w:t>LLM</w:t>
            </w:r>
            <w:r w:rsidRPr="00606CCD">
              <w:rPr>
                <w:sz w:val="18"/>
                <w:szCs w:val="18"/>
                <w:highlight w:val="yellow"/>
              </w:rPr>
              <w:t xml:space="preserve">) és a hagyományos numerikus mechanika integrált, párhuzamos oktatása erősítheti a képzés iparági </w:t>
            </w:r>
            <w:proofErr w:type="spellStart"/>
            <w:r w:rsidRPr="00606CCD">
              <w:rPr>
                <w:sz w:val="18"/>
                <w:szCs w:val="18"/>
                <w:highlight w:val="yellow"/>
              </w:rPr>
              <w:t>relevenciáját</w:t>
            </w:r>
            <w:proofErr w:type="spellEnd"/>
            <w:r w:rsidRPr="00606CCD">
              <w:rPr>
                <w:sz w:val="18"/>
                <w:szCs w:val="18"/>
                <w:highlight w:val="yellow"/>
              </w:rPr>
              <w:t xml:space="preserve"> és kutatás-orientáltságát. Továbbá a TUM a heterogén bemenetre válaszul „alapozó” kezdő szemesztert alakított ki.</w:t>
            </w:r>
          </w:p>
        </w:tc>
      </w:tr>
      <w:tr w:rsidR="0011453E" w:rsidRPr="002B0721" w14:paraId="5EAFA1E3" w14:textId="77777777" w:rsidTr="00CE6A7E">
        <w:tc>
          <w:tcPr>
            <w:cnfStyle w:val="001000000000" w:firstRow="0" w:lastRow="0" w:firstColumn="1" w:lastColumn="0" w:oddVBand="0" w:evenVBand="0" w:oddHBand="0" w:evenHBand="0" w:firstRowFirstColumn="0" w:firstRowLastColumn="0" w:lastRowFirstColumn="0" w:lastRowLastColumn="0"/>
            <w:tcW w:w="1507" w:type="dxa"/>
          </w:tcPr>
          <w:p w14:paraId="49369650" w14:textId="77777777" w:rsidR="0011453E" w:rsidRPr="002B0721" w:rsidRDefault="0011453E" w:rsidP="00D92C6C">
            <w:pPr>
              <w:rPr>
                <w:sz w:val="18"/>
                <w:szCs w:val="18"/>
              </w:rPr>
            </w:pPr>
            <w:r w:rsidRPr="002B0721">
              <w:rPr>
                <w:sz w:val="18"/>
                <w:szCs w:val="18"/>
              </w:rPr>
              <w:lastRenderedPageBreak/>
              <w:t>&lt;&lt;KITÖLTENDŐ&gt;&gt;</w:t>
            </w:r>
          </w:p>
        </w:tc>
        <w:tc>
          <w:tcPr>
            <w:tcW w:w="1457" w:type="dxa"/>
          </w:tcPr>
          <w:p w14:paraId="4E314744"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458" w:type="dxa"/>
          </w:tcPr>
          <w:p w14:paraId="5387CB20"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84" w:type="dxa"/>
          </w:tcPr>
          <w:p w14:paraId="1B887926"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498" w:type="dxa"/>
          </w:tcPr>
          <w:p w14:paraId="5D9C5735"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458" w:type="dxa"/>
          </w:tcPr>
          <w:p w14:paraId="51CA7321"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11453E" w:rsidRPr="002B0721" w14:paraId="19F56A7E" w14:textId="77777777" w:rsidTr="00CE6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12E266B2" w14:textId="77777777" w:rsidR="0011453E" w:rsidRPr="002B0721" w:rsidRDefault="0011453E" w:rsidP="00D92C6C">
            <w:pPr>
              <w:rPr>
                <w:sz w:val="18"/>
                <w:szCs w:val="18"/>
              </w:rPr>
            </w:pPr>
            <w:r w:rsidRPr="002B0721">
              <w:rPr>
                <w:sz w:val="18"/>
                <w:szCs w:val="18"/>
              </w:rPr>
              <w:t>&lt;&lt;KITÖLTENDŐ&gt;&gt;</w:t>
            </w:r>
          </w:p>
        </w:tc>
        <w:tc>
          <w:tcPr>
            <w:tcW w:w="1457" w:type="dxa"/>
          </w:tcPr>
          <w:p w14:paraId="128A7D5A" w14:textId="77777777" w:rsidR="0011453E" w:rsidRPr="002B0721" w:rsidRDefault="0011453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458" w:type="dxa"/>
          </w:tcPr>
          <w:p w14:paraId="65F7B27F" w14:textId="77777777" w:rsidR="0011453E" w:rsidRPr="002B0721" w:rsidRDefault="0011453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84" w:type="dxa"/>
          </w:tcPr>
          <w:p w14:paraId="6A8792F1" w14:textId="77777777" w:rsidR="0011453E" w:rsidRPr="002B0721" w:rsidRDefault="0011453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498" w:type="dxa"/>
          </w:tcPr>
          <w:p w14:paraId="6E1D1B76" w14:textId="77777777" w:rsidR="0011453E" w:rsidRPr="002B0721" w:rsidRDefault="0011453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458" w:type="dxa"/>
          </w:tcPr>
          <w:p w14:paraId="6DB37DFE" w14:textId="77777777" w:rsidR="0011453E" w:rsidRPr="002B0721" w:rsidRDefault="0011453E"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11453E" w:rsidRPr="002B0721" w14:paraId="66A720AF" w14:textId="77777777" w:rsidTr="00CE6A7E">
        <w:tc>
          <w:tcPr>
            <w:cnfStyle w:val="001000000000" w:firstRow="0" w:lastRow="0" w:firstColumn="1" w:lastColumn="0" w:oddVBand="0" w:evenVBand="0" w:oddHBand="0" w:evenHBand="0" w:firstRowFirstColumn="0" w:firstRowLastColumn="0" w:lastRowFirstColumn="0" w:lastRowLastColumn="0"/>
            <w:tcW w:w="1507" w:type="dxa"/>
          </w:tcPr>
          <w:p w14:paraId="770328EE" w14:textId="77777777" w:rsidR="0011453E" w:rsidRPr="002B0721" w:rsidRDefault="0011453E" w:rsidP="00D92C6C">
            <w:pPr>
              <w:rPr>
                <w:sz w:val="18"/>
                <w:szCs w:val="18"/>
              </w:rPr>
            </w:pPr>
            <w:r w:rsidRPr="002B0721">
              <w:rPr>
                <w:sz w:val="18"/>
                <w:szCs w:val="18"/>
              </w:rPr>
              <w:t>&lt;&lt;KITÖLTENDŐ&gt;&gt;</w:t>
            </w:r>
          </w:p>
        </w:tc>
        <w:tc>
          <w:tcPr>
            <w:tcW w:w="1457" w:type="dxa"/>
          </w:tcPr>
          <w:p w14:paraId="4F462566"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458" w:type="dxa"/>
          </w:tcPr>
          <w:p w14:paraId="5115AC78"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84" w:type="dxa"/>
          </w:tcPr>
          <w:p w14:paraId="47865F72"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498" w:type="dxa"/>
          </w:tcPr>
          <w:p w14:paraId="090868D1"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458" w:type="dxa"/>
          </w:tcPr>
          <w:p w14:paraId="22A9C995" w14:textId="77777777" w:rsidR="0011453E" w:rsidRPr="002B0721" w:rsidRDefault="0011453E"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349DC552" w14:textId="77777777" w:rsidR="0011453E" w:rsidRPr="002B0721" w:rsidRDefault="0011453E"/>
    <w:p w14:paraId="23A7BC46" w14:textId="77777777" w:rsidR="005A29DE" w:rsidRPr="002B0721" w:rsidRDefault="005A29DE" w:rsidP="005A29DE">
      <w:pPr>
        <w:pStyle w:val="Heading1"/>
      </w:pPr>
      <w:r w:rsidRPr="002B0721">
        <w:t>Módszertan és bizonyítékbázis</w:t>
      </w:r>
    </w:p>
    <w:p w14:paraId="4962F1B7" w14:textId="77777777" w:rsidR="00E93DBB" w:rsidRDefault="00032A4C">
      <w:pPr>
        <w:pStyle w:val="Infobox"/>
      </w:pPr>
      <w:r>
        <w:t xml:space="preserve">INFOBOX: Ez a fejezet mutassa be, hogy a jelentés milyen adatforrásokra, definíciókra és elemzési módszerekre támaszkodik. A cél az, hogy a következtetések reprodukálhatók, ellenőrizhetők és a különböző szakok között összehasonlíthatók legyenek. Térjen ki az alkalmazott időablakokra, a mintanagyságokra, a szegmentációs logikára és az adatkorlátokra is. Ez a rész adja meg a teljes jelentés bizonyítékalapú hitelességét, ezért különösen fontos az átlátható dokumentálás. </w:t>
      </w:r>
    </w:p>
    <w:p w14:paraId="74EE88F7" w14:textId="49973898" w:rsidR="00DA0DBC" w:rsidRDefault="00032A4C">
      <w:pPr>
        <w:pStyle w:val="Infobox"/>
      </w:pPr>
      <w:r>
        <w:t>Kapcsolódó ESG: 1.7 Információkezelés és 1.9 A képzési programok folyamatos figyelemmel kísérése és rendszeres értékelése.</w:t>
      </w:r>
    </w:p>
    <w:p w14:paraId="1463828B" w14:textId="73DFD2CB" w:rsidR="00E93DBB" w:rsidRDefault="00E93DBB" w:rsidP="00E93DBB">
      <w:r>
        <w:t>Ide írja a bevezető szöveget, ha az releváns és szükséges az alfejezetek értelmezéséhez</w:t>
      </w:r>
    </w:p>
    <w:p w14:paraId="56A43CB9" w14:textId="6EE2F87B" w:rsidR="005A29DE" w:rsidRPr="002B0721" w:rsidRDefault="005A29DE" w:rsidP="005A29DE">
      <w:pPr>
        <w:pStyle w:val="Heading2"/>
      </w:pPr>
      <w:r w:rsidRPr="002B0721">
        <w:t>Felülvizsgálat célja és fő kérdései</w:t>
      </w:r>
    </w:p>
    <w:p w14:paraId="4FD61D19" w14:textId="77777777" w:rsidR="00E93DBB" w:rsidRDefault="00032A4C">
      <w:pPr>
        <w:pStyle w:val="Infobox"/>
      </w:pPr>
      <w:r>
        <w:t xml:space="preserve">INFOBOX: Ebben az alfejezetben világosan definiálni kell, hogy a felülvizsgálat milyen fő kérdésekre keres választ. A kérdések legyenek olyanok, amelyek valóban döntésekhez vezetnek, például a program relevanciájára, eredményességére, hallgatói élményére vagy tantervi koherenciájára vonatkoznak. Érdemes rögzíteni a felülvizsgálat időhorizontját, valamint azt is, mi tartozik a vizsgálat körébe és mi nem. Minél egyértelműbb ez a keret, annál jobban értelmezhetők lesznek a későbbi megállapítások és javaslatok. </w:t>
      </w:r>
    </w:p>
    <w:p w14:paraId="75BA5C45" w14:textId="6CA6A35D" w:rsidR="00DA0DBC" w:rsidRDefault="00032A4C">
      <w:pPr>
        <w:pStyle w:val="Infobox"/>
      </w:pPr>
      <w:r>
        <w:t>Kapcsolódó ESG: 1.1 Minőségbiztosítási politika, 1.7 Információkezelés, 1.9 A képzési programok folyamatos figyelemmel kísérése és rendszeres értékelése.</w:t>
      </w:r>
    </w:p>
    <w:p w14:paraId="6EA0F3FF" w14:textId="77777777" w:rsidR="000A2AD5" w:rsidRPr="000A2AD5" w:rsidRDefault="000A2AD5" w:rsidP="000A2AD5">
      <w:pPr>
        <w:pStyle w:val="ListParagraph"/>
        <w:numPr>
          <w:ilvl w:val="0"/>
          <w:numId w:val="20"/>
        </w:numPr>
        <w:rPr>
          <w:highlight w:val="yellow"/>
        </w:rPr>
      </w:pPr>
      <w:r w:rsidRPr="000A2AD5">
        <w:rPr>
          <w:i/>
          <w:color w:val="005A9C"/>
          <w:highlight w:val="yellow"/>
        </w:rPr>
        <w:t>Hol vannak torlódások az előrehaladásban, és mi ennek az oka?</w:t>
      </w:r>
    </w:p>
    <w:p w14:paraId="135235B3" w14:textId="43617D7F" w:rsidR="000A2AD5" w:rsidRPr="000A2AD5" w:rsidRDefault="000A2AD5" w:rsidP="000A2AD5">
      <w:pPr>
        <w:pStyle w:val="ListParagraph"/>
        <w:numPr>
          <w:ilvl w:val="0"/>
          <w:numId w:val="20"/>
        </w:numPr>
        <w:rPr>
          <w:highlight w:val="yellow"/>
        </w:rPr>
      </w:pPr>
      <w:r w:rsidRPr="000A2AD5">
        <w:rPr>
          <w:i/>
          <w:color w:val="005A9C"/>
          <w:highlight w:val="yellow"/>
        </w:rPr>
        <w:t>Miért alacsony a képzés NPS értéke?</w:t>
      </w:r>
    </w:p>
    <w:p w14:paraId="0972C5D2" w14:textId="70725E84" w:rsidR="005A29DE" w:rsidRPr="000A2AD5" w:rsidRDefault="00606CCD" w:rsidP="000A2AD5">
      <w:pPr>
        <w:pStyle w:val="ListParagraph"/>
        <w:numPr>
          <w:ilvl w:val="0"/>
          <w:numId w:val="20"/>
        </w:numPr>
        <w:rPr>
          <w:highlight w:val="yellow"/>
        </w:rPr>
      </w:pPr>
      <w:r w:rsidRPr="000A2AD5">
        <w:rPr>
          <w:i/>
          <w:color w:val="005A9C"/>
          <w:highlight w:val="yellow"/>
        </w:rPr>
        <w:t>Egyezik-e a képzés tartalma a hazai és nemzetközi ipar mérnöki elvárásaihoz képest a szak szempontjából releváns munkakörökre – kutatási területekre vonatkozóan?</w:t>
      </w:r>
    </w:p>
    <w:p w14:paraId="131BBB6B" w14:textId="77777777" w:rsidR="005A29DE" w:rsidRPr="002B0721" w:rsidRDefault="005A29DE" w:rsidP="005A29DE">
      <w:pPr>
        <w:pStyle w:val="Heading2"/>
      </w:pPr>
      <w:r w:rsidRPr="002B0721">
        <w:t>Adatforrás-leltár</w:t>
      </w:r>
    </w:p>
    <w:p w14:paraId="4B3938D2" w14:textId="77777777" w:rsidR="00E93DBB" w:rsidRDefault="00032A4C">
      <w:pPr>
        <w:pStyle w:val="Infobox"/>
      </w:pPr>
      <w:r>
        <w:t xml:space="preserve">INFOBOX: Itt minden felhasznált adatforrást külön-külön azonosítani kell, rövid leírással és módszertani metaadattal együtt. Adja meg, hogy az adott forrás milyen tartalmat fed le, milyen időablakra vonatkozik, mekkora a mintája, milyen bontásokban értelmezhető, és milyen torzításokkal kell számolni. A táblázat ne csak adminisztratív felsorolás legyen, hanem mutassa meg azt is, hogy az adott forrás mely fejezetekben vagy döntésekben játszik szerepet. Az adatforrás-leltár különösen fontos ott, ahol a mutatók közötti összevetés vagy trendértelmezés a cél. </w:t>
      </w:r>
    </w:p>
    <w:p w14:paraId="29F1BF34" w14:textId="64271ABA" w:rsidR="00DA0DBC" w:rsidRDefault="00032A4C">
      <w:pPr>
        <w:pStyle w:val="Infobox"/>
      </w:pPr>
      <w:r>
        <w:t>Kapcsolódó ESG: 1.7 Információkezelés.</w:t>
      </w:r>
    </w:p>
    <w:tbl>
      <w:tblPr>
        <w:tblStyle w:val="GridTable5Dark-Accent1"/>
        <w:tblW w:w="0" w:type="auto"/>
        <w:tblLook w:val="04A0" w:firstRow="1" w:lastRow="0" w:firstColumn="1" w:lastColumn="0" w:noHBand="0" w:noVBand="1"/>
      </w:tblPr>
      <w:tblGrid>
        <w:gridCol w:w="1274"/>
        <w:gridCol w:w="1576"/>
        <w:gridCol w:w="1234"/>
        <w:gridCol w:w="1234"/>
        <w:gridCol w:w="1234"/>
        <w:gridCol w:w="1234"/>
        <w:gridCol w:w="1276"/>
      </w:tblGrid>
      <w:tr w:rsidR="00950215" w:rsidRPr="002B0721" w14:paraId="6E2A3482" w14:textId="77777777" w:rsidTr="001279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3" w:type="dxa"/>
          </w:tcPr>
          <w:p w14:paraId="66B0F237" w14:textId="77777777" w:rsidR="005A29DE" w:rsidRPr="002B0721" w:rsidRDefault="005A29DE" w:rsidP="00D92C6C">
            <w:pPr>
              <w:rPr>
                <w:sz w:val="18"/>
                <w:szCs w:val="18"/>
              </w:rPr>
            </w:pPr>
            <w:r w:rsidRPr="002B0721">
              <w:rPr>
                <w:sz w:val="18"/>
                <w:szCs w:val="18"/>
              </w:rPr>
              <w:lastRenderedPageBreak/>
              <w:t>Adatforrás</w:t>
            </w:r>
          </w:p>
        </w:tc>
        <w:tc>
          <w:tcPr>
            <w:tcW w:w="1299" w:type="dxa"/>
          </w:tcPr>
          <w:p w14:paraId="2D49147A" w14:textId="77777777" w:rsidR="005A29DE" w:rsidRPr="002B0721" w:rsidRDefault="005A29DE"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Tartalom</w:t>
            </w:r>
          </w:p>
        </w:tc>
        <w:tc>
          <w:tcPr>
            <w:tcW w:w="1300" w:type="dxa"/>
          </w:tcPr>
          <w:p w14:paraId="67A366C2" w14:textId="77777777" w:rsidR="005A29DE" w:rsidRPr="002B0721" w:rsidRDefault="005A29DE"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443" w:type="dxa"/>
          </w:tcPr>
          <w:p w14:paraId="02AA0389" w14:textId="77777777" w:rsidR="005A29DE" w:rsidRPr="002B0721" w:rsidRDefault="005A29DE"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Mintanagyság</w:t>
            </w:r>
          </w:p>
        </w:tc>
        <w:tc>
          <w:tcPr>
            <w:tcW w:w="1157" w:type="dxa"/>
          </w:tcPr>
          <w:p w14:paraId="4F565731" w14:textId="77777777" w:rsidR="005A29DE" w:rsidRPr="002B0721" w:rsidRDefault="005A29DE"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1300" w:type="dxa"/>
          </w:tcPr>
          <w:p w14:paraId="3E5BC407" w14:textId="77777777" w:rsidR="005A29DE" w:rsidRPr="002B0721" w:rsidRDefault="005A29DE"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Adatminőség / torzítás</w:t>
            </w:r>
          </w:p>
        </w:tc>
        <w:tc>
          <w:tcPr>
            <w:tcW w:w="1300" w:type="dxa"/>
          </w:tcPr>
          <w:p w14:paraId="617C0720" w14:textId="77777777" w:rsidR="005A29DE" w:rsidRPr="002B0721" w:rsidRDefault="005A29DE"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Felhasználás a jelentésben</w:t>
            </w:r>
          </w:p>
        </w:tc>
      </w:tr>
      <w:tr w:rsidR="00950215" w:rsidRPr="002B0721" w14:paraId="356F2059" w14:textId="77777777" w:rsidTr="0012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tcPr>
          <w:p w14:paraId="642D4FEB" w14:textId="28A680D6" w:rsidR="005A29DE" w:rsidRPr="009A6CFE" w:rsidRDefault="001279D1" w:rsidP="00D92C6C">
            <w:pPr>
              <w:rPr>
                <w:sz w:val="18"/>
                <w:szCs w:val="18"/>
              </w:rPr>
            </w:pPr>
            <w:r w:rsidRPr="009A6CFE">
              <w:rPr>
                <w:sz w:val="18"/>
                <w:szCs w:val="18"/>
              </w:rPr>
              <w:t>Nagymintás hallgatói elégedettségmérés</w:t>
            </w:r>
          </w:p>
        </w:tc>
        <w:tc>
          <w:tcPr>
            <w:tcW w:w="1299" w:type="dxa"/>
          </w:tcPr>
          <w:p w14:paraId="395FCB67" w14:textId="3CB89E03" w:rsidR="005A29DE" w:rsidRPr="009A6CFE" w:rsidRDefault="006D6435"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Szempontok fontossági sorrendje a szak megítéléséhez; heti kontaktóraszám megítélése; képzés gyakorlatorientáltságának megítélése; tananyag-ismétlés mértéke</w:t>
            </w:r>
            <w:r w:rsidR="00D21413" w:rsidRPr="009A6CFE">
              <w:rPr>
                <w:sz w:val="18"/>
                <w:szCs w:val="18"/>
              </w:rPr>
              <w:t xml:space="preserve">; </w:t>
            </w:r>
            <w:r w:rsidRPr="009A6CFE">
              <w:rPr>
                <w:sz w:val="18"/>
                <w:szCs w:val="18"/>
              </w:rPr>
              <w:t>fejlesztendő kompetenciák és készségigények; képzés felépítésének megítélése; jelenléti és önálló tanulás aránya; képzés korszerűségének megítélése; munkaerőpiaci készségekre való felkészítés; preferált tanítási és értékelési módszerek; NPS (ajánlási hajlandóság); szabad szöveges vélemények</w:t>
            </w:r>
          </w:p>
        </w:tc>
        <w:tc>
          <w:tcPr>
            <w:tcW w:w="1300" w:type="dxa"/>
          </w:tcPr>
          <w:p w14:paraId="2B0B10E0" w14:textId="4732E49F" w:rsidR="005A29DE" w:rsidRPr="009A6CFE" w:rsidRDefault="006D6435"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2026.02.13 – 03.01.</w:t>
            </w:r>
          </w:p>
        </w:tc>
        <w:tc>
          <w:tcPr>
            <w:tcW w:w="1443" w:type="dxa"/>
          </w:tcPr>
          <w:p w14:paraId="5B24A2A7" w14:textId="77777777" w:rsidR="006D6435" w:rsidRPr="009A6CFE" w:rsidRDefault="006D6435"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Aktív hallgató: 3133 fő</w:t>
            </w:r>
          </w:p>
          <w:p w14:paraId="49127F12" w14:textId="16503CFB" w:rsidR="006D6435" w:rsidRPr="009A6CFE" w:rsidRDefault="006D6435"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Végzett hallgató: 1210 fő</w:t>
            </w:r>
          </w:p>
          <w:p w14:paraId="62932EC6" w14:textId="1626C847" w:rsidR="005A29DE" w:rsidRPr="009A6CFE" w:rsidRDefault="006D6435"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Összesen: 4343 kitöltés</w:t>
            </w:r>
          </w:p>
        </w:tc>
        <w:tc>
          <w:tcPr>
            <w:tcW w:w="1157" w:type="dxa"/>
          </w:tcPr>
          <w:p w14:paraId="4376541F" w14:textId="49618F43" w:rsidR="005A29DE" w:rsidRPr="009A6CFE" w:rsidRDefault="006D6435"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Aktív vagy végzett (</w:t>
            </w:r>
            <w:proofErr w:type="spellStart"/>
            <w:r w:rsidRPr="009A6CFE">
              <w:rPr>
                <w:sz w:val="18"/>
                <w:szCs w:val="18"/>
              </w:rPr>
              <w:t>alumni</w:t>
            </w:r>
            <w:proofErr w:type="spellEnd"/>
            <w:r w:rsidRPr="009A6CFE">
              <w:rPr>
                <w:sz w:val="18"/>
                <w:szCs w:val="18"/>
              </w:rPr>
              <w:t xml:space="preserve">) hallgató, Kar, szak </w:t>
            </w:r>
            <w:r w:rsidR="00D21413" w:rsidRPr="009A6CFE">
              <w:rPr>
                <w:sz w:val="18"/>
                <w:szCs w:val="18"/>
              </w:rPr>
              <w:t>aktív félévszám szerint</w:t>
            </w:r>
          </w:p>
        </w:tc>
        <w:tc>
          <w:tcPr>
            <w:tcW w:w="1300" w:type="dxa"/>
          </w:tcPr>
          <w:p w14:paraId="2D85FC35" w14:textId="017ED27F" w:rsidR="005A29DE" w:rsidRPr="009A6CFE" w:rsidRDefault="002A598C"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Nagymintás felmérés, s</w:t>
            </w:r>
            <w:r w:rsidR="009F36D9" w:rsidRPr="009A6CFE">
              <w:rPr>
                <w:sz w:val="18"/>
                <w:szCs w:val="18"/>
              </w:rPr>
              <w:t>zakonként eltérő reprezentativitás.</w:t>
            </w:r>
            <w:r w:rsidRPr="009A6CFE">
              <w:rPr>
                <w:sz w:val="18"/>
                <w:szCs w:val="18"/>
              </w:rPr>
              <w:t xml:space="preserve"> Lehetséges önszelekciós torzítás</w:t>
            </w:r>
          </w:p>
        </w:tc>
        <w:tc>
          <w:tcPr>
            <w:tcW w:w="1300" w:type="dxa"/>
          </w:tcPr>
          <w:p w14:paraId="1FE54E73" w14:textId="503D4B3C" w:rsidR="00E12767" w:rsidRPr="009A6CFE" w:rsidRDefault="00E12767"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1. pillér</w:t>
            </w:r>
            <w:r w:rsidRPr="009A6CFE">
              <w:rPr>
                <w:sz w:val="18"/>
                <w:szCs w:val="18"/>
              </w:rPr>
              <w:t>: NPS, csúcsterhelési mutató, munkaerőpiaci felkészítés és módszer-preferenciák</w:t>
            </w:r>
          </w:p>
          <w:p w14:paraId="6FC2ACC1" w14:textId="013A5DCB" w:rsidR="00E12767" w:rsidRPr="009A6CFE" w:rsidRDefault="00E12767"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2. pillér</w:t>
            </w:r>
            <w:r w:rsidRPr="009A6CFE">
              <w:rPr>
                <w:sz w:val="18"/>
                <w:szCs w:val="18"/>
              </w:rPr>
              <w:t>: elmélet-gyakorlat arány hallgatói megítélése, valamint értékelési szerkezeti visszajelzések</w:t>
            </w:r>
          </w:p>
          <w:p w14:paraId="08295A05" w14:textId="5A7C15E3" w:rsidR="005A29DE" w:rsidRPr="009A6CFE" w:rsidRDefault="00E12767" w:rsidP="00D92C6C">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5. pillér</w:t>
            </w:r>
            <w:r w:rsidRPr="009A6CFE">
              <w:rPr>
                <w:sz w:val="18"/>
                <w:szCs w:val="18"/>
              </w:rPr>
              <w:t xml:space="preserve">: terhelés, kontaktóra-arány, munkavégzés melletti tanulhatóság; </w:t>
            </w:r>
            <w:proofErr w:type="spellStart"/>
            <w:r w:rsidRPr="009A6CFE">
              <w:rPr>
                <w:sz w:val="18"/>
                <w:szCs w:val="18"/>
              </w:rPr>
              <w:t>Gap</w:t>
            </w:r>
            <w:proofErr w:type="spellEnd"/>
            <w:r w:rsidRPr="009A6CFE">
              <w:rPr>
                <w:sz w:val="18"/>
                <w:szCs w:val="18"/>
              </w:rPr>
              <w:t>/IPA elemzés alapja az 1., 2. és 5. pillérben</w:t>
            </w:r>
          </w:p>
        </w:tc>
      </w:tr>
      <w:tr w:rsidR="00950215" w:rsidRPr="002B0721" w14:paraId="076A8839" w14:textId="77777777" w:rsidTr="001279D1">
        <w:tc>
          <w:tcPr>
            <w:cnfStyle w:val="001000000000" w:firstRow="0" w:lastRow="0" w:firstColumn="1" w:lastColumn="0" w:oddVBand="0" w:evenVBand="0" w:oddHBand="0" w:evenHBand="0" w:firstRowFirstColumn="0" w:firstRowLastColumn="0" w:lastRowFirstColumn="0" w:lastRowLastColumn="0"/>
            <w:tcW w:w="1263" w:type="dxa"/>
          </w:tcPr>
          <w:p w14:paraId="0338C875" w14:textId="62E03363" w:rsidR="005A29DE" w:rsidRPr="009A6CFE" w:rsidRDefault="001279D1" w:rsidP="005A29DE">
            <w:pPr>
              <w:rPr>
                <w:sz w:val="18"/>
                <w:szCs w:val="18"/>
              </w:rPr>
            </w:pPr>
            <w:r w:rsidRPr="009A6CFE">
              <w:rPr>
                <w:sz w:val="18"/>
                <w:szCs w:val="18"/>
              </w:rPr>
              <w:t>DPR</w:t>
            </w:r>
          </w:p>
        </w:tc>
        <w:tc>
          <w:tcPr>
            <w:tcW w:w="1299" w:type="dxa"/>
          </w:tcPr>
          <w:p w14:paraId="346EE6FA" w14:textId="0C9C2998" w:rsidR="005A29DE" w:rsidRPr="009A6CFE" w:rsidRDefault="00CE0F4E"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Elhelyezkedési arány és idő diplomaszerzés után; képzésnek megfelelő foglalkoztatás aránya; béradatok és jövedelmi tendenciák</w:t>
            </w:r>
          </w:p>
        </w:tc>
        <w:tc>
          <w:tcPr>
            <w:tcW w:w="1300" w:type="dxa"/>
          </w:tcPr>
          <w:p w14:paraId="1D9FE0B0" w14:textId="1D886E4B" w:rsidR="005A29DE" w:rsidRPr="009A6CFE" w:rsidRDefault="00CE0F4E"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2016-2023 között végzettekről szóló 2025-ös adatok</w:t>
            </w:r>
          </w:p>
        </w:tc>
        <w:tc>
          <w:tcPr>
            <w:tcW w:w="1443" w:type="dxa"/>
          </w:tcPr>
          <w:p w14:paraId="5430ABF0" w14:textId="5D426577" w:rsidR="005A29DE" w:rsidRPr="009A6CFE" w:rsidRDefault="00950215"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BME-n végzettek: 29623 fő</w:t>
            </w:r>
          </w:p>
          <w:p w14:paraId="19066440" w14:textId="77777777" w:rsidR="00950215" w:rsidRPr="009A6CFE" w:rsidRDefault="00950215" w:rsidP="005A29DE">
            <w:pPr>
              <w:cnfStyle w:val="000000000000" w:firstRow="0" w:lastRow="0" w:firstColumn="0" w:lastColumn="0" w:oddVBand="0" w:evenVBand="0" w:oddHBand="0" w:evenHBand="0" w:firstRowFirstColumn="0" w:firstRowLastColumn="0" w:lastRowFirstColumn="0" w:lastRowLastColumn="0"/>
              <w:rPr>
                <w:sz w:val="18"/>
                <w:szCs w:val="18"/>
              </w:rPr>
            </w:pPr>
          </w:p>
          <w:p w14:paraId="570D3771" w14:textId="77777777" w:rsidR="00950215" w:rsidRPr="009A6CFE" w:rsidRDefault="00950215"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Összesen:</w:t>
            </w:r>
          </w:p>
          <w:p w14:paraId="197B7E95" w14:textId="46DB67BF" w:rsidR="00950215" w:rsidRPr="009A6CFE" w:rsidRDefault="00950215"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366712 fő</w:t>
            </w:r>
          </w:p>
        </w:tc>
        <w:tc>
          <w:tcPr>
            <w:tcW w:w="1157" w:type="dxa"/>
          </w:tcPr>
          <w:p w14:paraId="31B3C7E9" w14:textId="7C9BDA96" w:rsidR="005A29DE" w:rsidRPr="009A6CFE" w:rsidRDefault="00950215"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Képzési szint, képzési terület, intézmény, végzési évfolyam, finanszírozási forma, állampolgárság szerint; szakspecifikus szűrés elérhető</w:t>
            </w:r>
          </w:p>
        </w:tc>
        <w:tc>
          <w:tcPr>
            <w:tcW w:w="1300" w:type="dxa"/>
          </w:tcPr>
          <w:p w14:paraId="59090ECF" w14:textId="0DB20537" w:rsidR="005A29DE" w:rsidRPr="009A6CFE" w:rsidRDefault="009F36D9"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Nincs torzítás. Adminisztratív forrásból eredő adatminőségi hibák előfordulhatnak</w:t>
            </w:r>
          </w:p>
        </w:tc>
        <w:tc>
          <w:tcPr>
            <w:tcW w:w="1300" w:type="dxa"/>
          </w:tcPr>
          <w:p w14:paraId="0EFD948D" w14:textId="31388EF5" w:rsidR="00E12767" w:rsidRPr="009A6CFE" w:rsidRDefault="00E12767"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 xml:space="preserve">3. pillér: </w:t>
            </w:r>
            <w:r w:rsidRPr="009A6CFE">
              <w:rPr>
                <w:sz w:val="18"/>
                <w:szCs w:val="18"/>
              </w:rPr>
              <w:t>képzésnek megfelelő elhelyezkedési arány, átlagos elhelyezkedési idő, béradatok</w:t>
            </w:r>
          </w:p>
          <w:p w14:paraId="4B89FAE2" w14:textId="61D12D83" w:rsidR="005A29DE" w:rsidRPr="009A6CFE" w:rsidRDefault="00E12767"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4. pillér</w:t>
            </w:r>
            <w:r w:rsidRPr="009A6CFE">
              <w:rPr>
                <w:sz w:val="18"/>
                <w:szCs w:val="18"/>
              </w:rPr>
              <w:t xml:space="preserve">: végzettek munkakörének jövőállósága, digitális és AI-kompetenciák iránti </w:t>
            </w:r>
            <w:r w:rsidRPr="009A6CFE">
              <w:rPr>
                <w:sz w:val="18"/>
                <w:szCs w:val="18"/>
              </w:rPr>
              <w:lastRenderedPageBreak/>
              <w:t>kereslet; Létszámtrendek összevetéséhez</w:t>
            </w:r>
          </w:p>
        </w:tc>
      </w:tr>
      <w:tr w:rsidR="00950215" w:rsidRPr="002B0721" w14:paraId="6FDF37A3" w14:textId="77777777" w:rsidTr="0012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tcPr>
          <w:p w14:paraId="1CF89733" w14:textId="15634517" w:rsidR="005A29DE" w:rsidRPr="009A6CFE" w:rsidRDefault="001279D1" w:rsidP="005A29DE">
            <w:pPr>
              <w:rPr>
                <w:sz w:val="18"/>
                <w:szCs w:val="18"/>
              </w:rPr>
            </w:pPr>
            <w:proofErr w:type="spellStart"/>
            <w:r w:rsidRPr="009A6CFE">
              <w:rPr>
                <w:sz w:val="18"/>
                <w:szCs w:val="18"/>
              </w:rPr>
              <w:lastRenderedPageBreak/>
              <w:t>Gólyakérdőív</w:t>
            </w:r>
            <w:proofErr w:type="spellEnd"/>
          </w:p>
        </w:tc>
        <w:tc>
          <w:tcPr>
            <w:tcW w:w="1299" w:type="dxa"/>
          </w:tcPr>
          <w:p w14:paraId="07CD449D" w14:textId="508E62FC" w:rsidR="005A29DE" w:rsidRPr="009A6CFE" w:rsidRDefault="006D6435"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 xml:space="preserve">Intézményválasztás motivációi és versenytárs-intézmények; szakválasztás motivációi; felvételi tájékoztatás elégedettség; felvételi rendszer megítélése; BME asszociációk; oktatással szembeni elvárások, hallgatói szolgáltatás-igények; tanulmányokkal párhuzamos tervek; elhelyezkedési tervek és szempontok; </w:t>
            </w:r>
            <w:proofErr w:type="spellStart"/>
            <w:r w:rsidRPr="009A6CFE">
              <w:rPr>
                <w:rStyle w:val="HTMLCode"/>
                <w:rFonts w:ascii="Palatino Linotype" w:eastAsiaTheme="majorEastAsia" w:hAnsi="Palatino Linotype"/>
                <w:sz w:val="18"/>
                <w:szCs w:val="18"/>
              </w:rPr>
              <w:t>Gólyatábor</w:t>
            </w:r>
            <w:proofErr w:type="spellEnd"/>
            <w:r w:rsidRPr="009A6CFE">
              <w:rPr>
                <w:rStyle w:val="HTMLCode"/>
                <w:rFonts w:ascii="Palatino Linotype" w:eastAsiaTheme="majorEastAsia" w:hAnsi="Palatino Linotype"/>
                <w:sz w:val="18"/>
                <w:szCs w:val="18"/>
              </w:rPr>
              <w:t xml:space="preserve"> elégedettség; </w:t>
            </w:r>
            <w:proofErr w:type="spellStart"/>
            <w:r w:rsidRPr="009A6CFE">
              <w:rPr>
                <w:rStyle w:val="HTMLCode"/>
                <w:rFonts w:ascii="Palatino Linotype" w:eastAsiaTheme="majorEastAsia" w:hAnsi="Palatino Linotype"/>
                <w:sz w:val="18"/>
                <w:szCs w:val="18"/>
              </w:rPr>
              <w:t>szociodemográfiai</w:t>
            </w:r>
            <w:proofErr w:type="spellEnd"/>
            <w:r w:rsidRPr="009A6CFE">
              <w:rPr>
                <w:rStyle w:val="HTMLCode"/>
                <w:rFonts w:ascii="Palatino Linotype" w:eastAsiaTheme="majorEastAsia" w:hAnsi="Palatino Linotype"/>
                <w:sz w:val="18"/>
                <w:szCs w:val="18"/>
              </w:rPr>
              <w:t xml:space="preserve"> háttér</w:t>
            </w:r>
          </w:p>
        </w:tc>
        <w:tc>
          <w:tcPr>
            <w:tcW w:w="1300" w:type="dxa"/>
          </w:tcPr>
          <w:p w14:paraId="68CE00A4" w14:textId="0642BD25" w:rsidR="005A29DE" w:rsidRPr="009A6CFE" w:rsidRDefault="006D6435"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2024 és 2025</w:t>
            </w:r>
          </w:p>
        </w:tc>
        <w:tc>
          <w:tcPr>
            <w:tcW w:w="1443" w:type="dxa"/>
          </w:tcPr>
          <w:p w14:paraId="41FB89F7" w14:textId="4C87DFBE" w:rsidR="005A29DE" w:rsidRPr="009A6CFE" w:rsidRDefault="006D6435"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1598 és 2940 fő (4538 fő összesen)</w:t>
            </w:r>
          </w:p>
        </w:tc>
        <w:tc>
          <w:tcPr>
            <w:tcW w:w="1157" w:type="dxa"/>
          </w:tcPr>
          <w:p w14:paraId="69E8A244" w14:textId="73E17832" w:rsidR="005A29DE" w:rsidRPr="009A6CFE" w:rsidRDefault="006D6435"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Év és Kar szerint.</w:t>
            </w:r>
          </w:p>
        </w:tc>
        <w:tc>
          <w:tcPr>
            <w:tcW w:w="1300" w:type="dxa"/>
          </w:tcPr>
          <w:p w14:paraId="1CA60D3B" w14:textId="17ED8272" w:rsidR="005A29DE" w:rsidRPr="009A6CFE" w:rsidRDefault="002A598C"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Kari szinten reprezentatív, magas kitöltési arány</w:t>
            </w:r>
          </w:p>
        </w:tc>
        <w:tc>
          <w:tcPr>
            <w:tcW w:w="1300" w:type="dxa"/>
          </w:tcPr>
          <w:p w14:paraId="44FDEABB" w14:textId="77777777" w:rsidR="00E12767" w:rsidRPr="009A6CFE" w:rsidRDefault="00E12767"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Beiskolázási alfejezet: intézményválasztási motivációk, versenytárs-intézmények</w:t>
            </w:r>
          </w:p>
          <w:p w14:paraId="73482724" w14:textId="5C22E78A" w:rsidR="00E12767" w:rsidRPr="009A6CFE" w:rsidRDefault="00E12767"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1. pillér</w:t>
            </w:r>
            <w:r w:rsidRPr="009A6CFE">
              <w:rPr>
                <w:sz w:val="18"/>
                <w:szCs w:val="18"/>
              </w:rPr>
              <w:t xml:space="preserve">: belépő hallgatók elvárásai és preferenciái </w:t>
            </w:r>
          </w:p>
          <w:p w14:paraId="295653F2" w14:textId="421990A5" w:rsidR="005A29DE" w:rsidRPr="009A6CFE" w:rsidRDefault="00E12767"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6. pillér</w:t>
            </w:r>
            <w:r w:rsidRPr="009A6CFE">
              <w:rPr>
                <w:sz w:val="18"/>
                <w:szCs w:val="18"/>
              </w:rPr>
              <w:t>: külföldi intézménybe is jelentkezők aránya, nemzetközi mobilitási szándék</w:t>
            </w:r>
          </w:p>
        </w:tc>
      </w:tr>
      <w:tr w:rsidR="00950215" w:rsidRPr="002B0721" w14:paraId="45248356" w14:textId="77777777" w:rsidTr="001279D1">
        <w:tc>
          <w:tcPr>
            <w:cnfStyle w:val="001000000000" w:firstRow="0" w:lastRow="0" w:firstColumn="1" w:lastColumn="0" w:oddVBand="0" w:evenVBand="0" w:oddHBand="0" w:evenHBand="0" w:firstRowFirstColumn="0" w:firstRowLastColumn="0" w:lastRowFirstColumn="0" w:lastRowLastColumn="0"/>
            <w:tcW w:w="1263" w:type="dxa"/>
          </w:tcPr>
          <w:p w14:paraId="6166686A" w14:textId="119754A2" w:rsidR="005A29DE" w:rsidRPr="009A6CFE" w:rsidRDefault="001279D1" w:rsidP="005A29DE">
            <w:pPr>
              <w:rPr>
                <w:sz w:val="18"/>
                <w:szCs w:val="18"/>
              </w:rPr>
            </w:pPr>
            <w:r w:rsidRPr="009A6CFE">
              <w:rPr>
                <w:sz w:val="18"/>
                <w:szCs w:val="18"/>
              </w:rPr>
              <w:t>OMHV eredmények</w:t>
            </w:r>
          </w:p>
        </w:tc>
        <w:tc>
          <w:tcPr>
            <w:tcW w:w="1299" w:type="dxa"/>
          </w:tcPr>
          <w:p w14:paraId="30C0A29E" w14:textId="68F25242" w:rsidR="005A29DE" w:rsidRPr="009A6CFE" w:rsidRDefault="006D6435"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Tantárgy teljesítési, eredményességi, valamint t</w:t>
            </w:r>
            <w:r w:rsidR="00A22881" w:rsidRPr="009A6CFE">
              <w:rPr>
                <w:sz w:val="18"/>
                <w:szCs w:val="18"/>
              </w:rPr>
              <w:t>antárgyi</w:t>
            </w:r>
            <w:r w:rsidRPr="009A6CFE">
              <w:rPr>
                <w:sz w:val="18"/>
                <w:szCs w:val="18"/>
              </w:rPr>
              <w:t>-</w:t>
            </w:r>
            <w:r w:rsidR="00A22881" w:rsidRPr="009A6CFE">
              <w:rPr>
                <w:sz w:val="18"/>
                <w:szCs w:val="18"/>
              </w:rPr>
              <w:t xml:space="preserve"> </w:t>
            </w:r>
            <w:r w:rsidRPr="009A6CFE">
              <w:rPr>
                <w:sz w:val="18"/>
                <w:szCs w:val="18"/>
              </w:rPr>
              <w:t>és oktatói OMHV eredmények</w:t>
            </w:r>
          </w:p>
        </w:tc>
        <w:tc>
          <w:tcPr>
            <w:tcW w:w="1300" w:type="dxa"/>
          </w:tcPr>
          <w:p w14:paraId="692B67C1" w14:textId="221CBC23" w:rsidR="005A29DE" w:rsidRPr="009A6CFE" w:rsidRDefault="001279D1"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2023 - 2025</w:t>
            </w:r>
          </w:p>
        </w:tc>
        <w:tc>
          <w:tcPr>
            <w:tcW w:w="1443" w:type="dxa"/>
          </w:tcPr>
          <w:p w14:paraId="41384795" w14:textId="764F9B44" w:rsidR="005A29DE" w:rsidRPr="009A6CFE" w:rsidRDefault="008F18A9"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T</w:t>
            </w:r>
            <w:r w:rsidR="009F36D9" w:rsidRPr="009A6CFE">
              <w:rPr>
                <w:sz w:val="18"/>
                <w:szCs w:val="18"/>
              </w:rPr>
              <w:t xml:space="preserve">antárgyat </w:t>
            </w:r>
            <w:r w:rsidRPr="009A6CFE">
              <w:rPr>
                <w:sz w:val="18"/>
                <w:szCs w:val="18"/>
              </w:rPr>
              <w:t xml:space="preserve">felvevők; tantárgyat </w:t>
            </w:r>
            <w:r w:rsidR="009F36D9" w:rsidRPr="009A6CFE">
              <w:rPr>
                <w:sz w:val="18"/>
                <w:szCs w:val="18"/>
              </w:rPr>
              <w:t>teljesítők</w:t>
            </w:r>
          </w:p>
        </w:tc>
        <w:tc>
          <w:tcPr>
            <w:tcW w:w="1157" w:type="dxa"/>
          </w:tcPr>
          <w:p w14:paraId="271EEB42" w14:textId="5AED1E84" w:rsidR="005A29DE" w:rsidRPr="009A6CFE" w:rsidRDefault="006D6435"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Félév, Kar, tanszék, tantárgy, követelmény és létszám szerint. Oktatói eredmények esetében Kar és félév szerint.</w:t>
            </w:r>
          </w:p>
        </w:tc>
        <w:tc>
          <w:tcPr>
            <w:tcW w:w="1300" w:type="dxa"/>
          </w:tcPr>
          <w:p w14:paraId="68340B6E" w14:textId="4CD81013" w:rsidR="005A29DE" w:rsidRPr="009A6CFE" w:rsidRDefault="009F36D9"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Nincs torzítás. Adminisztratív forrásból eredő adatminőségi hibák előfordulhatnak</w:t>
            </w:r>
          </w:p>
        </w:tc>
        <w:tc>
          <w:tcPr>
            <w:tcW w:w="1300" w:type="dxa"/>
          </w:tcPr>
          <w:p w14:paraId="592FCFBA" w14:textId="43A92A6C" w:rsidR="00E12767" w:rsidRPr="009A6CFE" w:rsidRDefault="00E12767"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2. pillér</w:t>
            </w:r>
            <w:r w:rsidRPr="009A6CFE">
              <w:rPr>
                <w:sz w:val="18"/>
                <w:szCs w:val="18"/>
              </w:rPr>
              <w:t>: tantárgyszintű teljesítési és eredményességi adatok, kritikus tantárgyak azonosítása</w:t>
            </w:r>
          </w:p>
          <w:p w14:paraId="4852A2F6" w14:textId="1AC38C3C" w:rsidR="00E12767" w:rsidRPr="009A6CFE" w:rsidRDefault="00E12767"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5. pillér</w:t>
            </w:r>
            <w:r w:rsidRPr="009A6CFE">
              <w:rPr>
                <w:sz w:val="18"/>
                <w:szCs w:val="18"/>
              </w:rPr>
              <w:t>: előrehaladási akadályok, torlódási pontok lokalizálása</w:t>
            </w:r>
          </w:p>
          <w:p w14:paraId="2FA76D9A" w14:textId="629E8884" w:rsidR="005A29DE" w:rsidRPr="009A6CFE" w:rsidRDefault="00E12767"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7. pillér</w:t>
            </w:r>
            <w:r w:rsidRPr="009A6CFE">
              <w:rPr>
                <w:sz w:val="18"/>
                <w:szCs w:val="18"/>
              </w:rPr>
              <w:t>: PDCA-ciklus bizonyítékalapja, visszacsatolási napló, korábbi változtatások eredményességének alátámasztása</w:t>
            </w:r>
          </w:p>
        </w:tc>
      </w:tr>
      <w:tr w:rsidR="00950215" w:rsidRPr="002B0721" w14:paraId="0DECD623" w14:textId="77777777" w:rsidTr="0012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tcPr>
          <w:p w14:paraId="24CF64A4" w14:textId="76EE1C6B" w:rsidR="005A29DE" w:rsidRPr="009A6CFE" w:rsidRDefault="001279D1" w:rsidP="005A29DE">
            <w:pPr>
              <w:rPr>
                <w:sz w:val="18"/>
                <w:szCs w:val="18"/>
              </w:rPr>
            </w:pPr>
            <w:r w:rsidRPr="009A6CFE">
              <w:rPr>
                <w:sz w:val="18"/>
                <w:szCs w:val="18"/>
              </w:rPr>
              <w:t>Létszámtrendek</w:t>
            </w:r>
          </w:p>
        </w:tc>
        <w:tc>
          <w:tcPr>
            <w:tcW w:w="1299" w:type="dxa"/>
          </w:tcPr>
          <w:p w14:paraId="4354BEB8" w14:textId="513C1D51" w:rsidR="005A29DE" w:rsidRPr="009A6CFE" w:rsidRDefault="009F36D9"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Kar és szak szerinti felvételi létszámok</w:t>
            </w:r>
            <w:r w:rsidR="00CE0F4E" w:rsidRPr="009A6CFE">
              <w:rPr>
                <w:sz w:val="18"/>
                <w:szCs w:val="18"/>
              </w:rPr>
              <w:t>;</w:t>
            </w:r>
            <w:r w:rsidRPr="009A6CFE">
              <w:rPr>
                <w:sz w:val="18"/>
                <w:szCs w:val="18"/>
              </w:rPr>
              <w:t xml:space="preserve"> képzés teljesítésének átlagos ideje</w:t>
            </w:r>
            <w:r w:rsidR="00CE0F4E" w:rsidRPr="009A6CFE">
              <w:rPr>
                <w:sz w:val="18"/>
                <w:szCs w:val="18"/>
              </w:rPr>
              <w:t>;</w:t>
            </w:r>
            <w:r w:rsidRPr="009A6CFE">
              <w:rPr>
                <w:sz w:val="18"/>
                <w:szCs w:val="18"/>
              </w:rPr>
              <w:t xml:space="preserve"> bejövő hallgatók jellemzői</w:t>
            </w:r>
            <w:r w:rsidR="00CE0F4E" w:rsidRPr="009A6CFE">
              <w:rPr>
                <w:sz w:val="18"/>
                <w:szCs w:val="18"/>
              </w:rPr>
              <w:t xml:space="preserve">; </w:t>
            </w:r>
            <w:r w:rsidRPr="009A6CFE">
              <w:rPr>
                <w:sz w:val="18"/>
                <w:szCs w:val="18"/>
              </w:rPr>
              <w:t>előképzettség, jogviszony megszűnésének okai</w:t>
            </w:r>
          </w:p>
        </w:tc>
        <w:tc>
          <w:tcPr>
            <w:tcW w:w="1300" w:type="dxa"/>
          </w:tcPr>
          <w:p w14:paraId="25257C33" w14:textId="2371D258" w:rsidR="005A29DE" w:rsidRPr="009A6CFE" w:rsidRDefault="001279D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2020 - 2025</w:t>
            </w:r>
          </w:p>
        </w:tc>
        <w:tc>
          <w:tcPr>
            <w:tcW w:w="1443" w:type="dxa"/>
          </w:tcPr>
          <w:p w14:paraId="2A1A84D3" w14:textId="51E31D33" w:rsidR="005A29DE" w:rsidRPr="009A6CFE" w:rsidRDefault="008F18A9"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 xml:space="preserve">Mindenki a </w:t>
            </w:r>
            <w:r w:rsidR="009F36D9" w:rsidRPr="009A6CFE">
              <w:rPr>
                <w:sz w:val="18"/>
                <w:szCs w:val="18"/>
              </w:rPr>
              <w:t>felvételi adatok alapján</w:t>
            </w:r>
          </w:p>
        </w:tc>
        <w:tc>
          <w:tcPr>
            <w:tcW w:w="1157" w:type="dxa"/>
          </w:tcPr>
          <w:p w14:paraId="56665364" w14:textId="59AB4EA1" w:rsidR="005A29DE" w:rsidRPr="009A6CFE" w:rsidRDefault="009F36D9"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Kar, szak, félév, felvétel módja, pénzügyi státusz, képzési terület, állampolgárság, lakhely (ország)</w:t>
            </w:r>
            <w:r w:rsidR="00C71121" w:rsidRPr="009A6CFE">
              <w:rPr>
                <w:sz w:val="18"/>
                <w:szCs w:val="18"/>
              </w:rPr>
              <w:t xml:space="preserve"> szerint</w:t>
            </w:r>
          </w:p>
        </w:tc>
        <w:tc>
          <w:tcPr>
            <w:tcW w:w="1300" w:type="dxa"/>
          </w:tcPr>
          <w:p w14:paraId="2E99FAC5" w14:textId="7D129481" w:rsidR="005A29DE" w:rsidRPr="009A6CFE" w:rsidRDefault="009F36D9"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Nincs torzítás. Adminisztratív forrásból eredő adatminőségi hibák előfordulhatnak</w:t>
            </w:r>
          </w:p>
        </w:tc>
        <w:tc>
          <w:tcPr>
            <w:tcW w:w="1300" w:type="dxa"/>
          </w:tcPr>
          <w:p w14:paraId="6EED07FF" w14:textId="1658ACB6" w:rsidR="001034DB" w:rsidRPr="009A6CFE" w:rsidRDefault="001034DB"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 xml:space="preserve">Beiskolázási alfejezet: felvételi létszámtrendek </w:t>
            </w:r>
          </w:p>
          <w:p w14:paraId="417BB463" w14:textId="41C40D83" w:rsidR="001034DB" w:rsidRPr="009A6CFE" w:rsidRDefault="001034DB"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1. pillér</w:t>
            </w:r>
            <w:r w:rsidRPr="009A6CFE">
              <w:rPr>
                <w:sz w:val="18"/>
                <w:szCs w:val="18"/>
              </w:rPr>
              <w:t xml:space="preserve">: lemorzsolódási arány, átlagos képzési idő KPI </w:t>
            </w:r>
          </w:p>
          <w:p w14:paraId="58FE70CD" w14:textId="3959B0E2" w:rsidR="001034DB" w:rsidRPr="009A6CFE" w:rsidRDefault="001034DB"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5. pillér</w:t>
            </w:r>
            <w:r w:rsidRPr="009A6CFE">
              <w:rPr>
                <w:sz w:val="18"/>
                <w:szCs w:val="18"/>
              </w:rPr>
              <w:t>: jogviszony-megszűnési okok és előrehaladási adatok</w:t>
            </w:r>
          </w:p>
          <w:p w14:paraId="6436306E" w14:textId="52109E87" w:rsidR="005A29DE" w:rsidRPr="009A6CFE" w:rsidRDefault="001034DB"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6. pillér</w:t>
            </w:r>
            <w:r w:rsidRPr="009A6CFE">
              <w:rPr>
                <w:sz w:val="18"/>
                <w:szCs w:val="18"/>
              </w:rPr>
              <w:t>: külföldi hallgatók arányának trendje</w:t>
            </w:r>
          </w:p>
        </w:tc>
      </w:tr>
      <w:tr w:rsidR="00950215" w:rsidRPr="002B0721" w14:paraId="4D38D247" w14:textId="77777777" w:rsidTr="001279D1">
        <w:tc>
          <w:tcPr>
            <w:cnfStyle w:val="001000000000" w:firstRow="0" w:lastRow="0" w:firstColumn="1" w:lastColumn="0" w:oddVBand="0" w:evenVBand="0" w:oddHBand="0" w:evenHBand="0" w:firstRowFirstColumn="0" w:firstRowLastColumn="0" w:lastRowFirstColumn="0" w:lastRowLastColumn="0"/>
            <w:tcW w:w="1263" w:type="dxa"/>
          </w:tcPr>
          <w:p w14:paraId="51DFBEF3" w14:textId="5AB63620" w:rsidR="005A29DE" w:rsidRPr="009A6CFE" w:rsidRDefault="001279D1" w:rsidP="005A29DE">
            <w:pPr>
              <w:rPr>
                <w:sz w:val="18"/>
                <w:szCs w:val="18"/>
              </w:rPr>
            </w:pPr>
            <w:r w:rsidRPr="009A6CFE">
              <w:rPr>
                <w:sz w:val="18"/>
                <w:szCs w:val="18"/>
              </w:rPr>
              <w:t>Oktatói elégedettség felmérés</w:t>
            </w:r>
          </w:p>
        </w:tc>
        <w:tc>
          <w:tcPr>
            <w:tcW w:w="1299" w:type="dxa"/>
          </w:tcPr>
          <w:p w14:paraId="0FAD6000" w14:textId="70F461A8" w:rsidR="005A29DE" w:rsidRPr="009A6CFE" w:rsidRDefault="00A22881"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Elkötelezettség, kollegiális kapcsolatok, oktatás, Egyetem megítélése, juttatások és szolgáltatások megítélése.</w:t>
            </w:r>
          </w:p>
        </w:tc>
        <w:tc>
          <w:tcPr>
            <w:tcW w:w="1300" w:type="dxa"/>
          </w:tcPr>
          <w:p w14:paraId="09488CD0" w14:textId="5FF6FF86" w:rsidR="005A29DE" w:rsidRPr="009A6CFE" w:rsidRDefault="001279D1"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2024.</w:t>
            </w:r>
          </w:p>
        </w:tc>
        <w:tc>
          <w:tcPr>
            <w:tcW w:w="1443" w:type="dxa"/>
          </w:tcPr>
          <w:p w14:paraId="3F4EAC81" w14:textId="439E18D7" w:rsidR="005A29DE" w:rsidRPr="009A6CFE" w:rsidRDefault="001279D1"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424 fő</w:t>
            </w:r>
          </w:p>
        </w:tc>
        <w:tc>
          <w:tcPr>
            <w:tcW w:w="1157" w:type="dxa"/>
          </w:tcPr>
          <w:p w14:paraId="483C9965" w14:textId="2CD5CA6F" w:rsidR="005A29DE" w:rsidRPr="009A6CFE" w:rsidRDefault="00C71121"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 xml:space="preserve">Egyetemi </w:t>
            </w:r>
            <w:proofErr w:type="spellStart"/>
            <w:r w:rsidRPr="009A6CFE">
              <w:rPr>
                <w:sz w:val="18"/>
                <w:szCs w:val="18"/>
              </w:rPr>
              <w:t>vs</w:t>
            </w:r>
            <w:proofErr w:type="spellEnd"/>
            <w:r w:rsidRPr="009A6CFE">
              <w:rPr>
                <w:sz w:val="18"/>
                <w:szCs w:val="18"/>
              </w:rPr>
              <w:t xml:space="preserve"> Karok szerinti eredmények</w:t>
            </w:r>
          </w:p>
        </w:tc>
        <w:tc>
          <w:tcPr>
            <w:tcW w:w="1300" w:type="dxa"/>
          </w:tcPr>
          <w:p w14:paraId="57D58AF0" w14:textId="75BA09B0" w:rsidR="005A29DE" w:rsidRPr="009A6CFE" w:rsidRDefault="002A598C"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Közepes válaszadási arány, lehetséges önszelekciós torzítás</w:t>
            </w:r>
          </w:p>
        </w:tc>
        <w:tc>
          <w:tcPr>
            <w:tcW w:w="1300" w:type="dxa"/>
          </w:tcPr>
          <w:p w14:paraId="1C52BFD1" w14:textId="5848E3C9" w:rsidR="001034DB" w:rsidRPr="009A6CFE" w:rsidRDefault="001034DB"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2. pillér</w:t>
            </w:r>
            <w:r w:rsidRPr="009A6CFE">
              <w:rPr>
                <w:sz w:val="18"/>
                <w:szCs w:val="18"/>
              </w:rPr>
              <w:t>: oktatói terhelés, pedagógiai innovációs kapacitás, fejlesztési támogatási igények</w:t>
            </w:r>
          </w:p>
          <w:p w14:paraId="363FEB76" w14:textId="7F578642" w:rsidR="005A29DE" w:rsidRPr="009A6CFE" w:rsidRDefault="001034DB"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7. pillér</w:t>
            </w:r>
            <w:r w:rsidRPr="009A6CFE">
              <w:rPr>
                <w:sz w:val="18"/>
                <w:szCs w:val="18"/>
              </w:rPr>
              <w:t>: PDCA-működés emberi erőforrás oldala, intézményi elköteleződés mérése</w:t>
            </w:r>
          </w:p>
        </w:tc>
      </w:tr>
      <w:tr w:rsidR="00E12767" w:rsidRPr="002B0721" w14:paraId="065C1EB9" w14:textId="77777777" w:rsidTr="0012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tcPr>
          <w:p w14:paraId="135369A2" w14:textId="46B33CB5" w:rsidR="001279D1" w:rsidRPr="009A6CFE" w:rsidRDefault="001279D1" w:rsidP="005A29DE">
            <w:pPr>
              <w:rPr>
                <w:sz w:val="18"/>
                <w:szCs w:val="18"/>
              </w:rPr>
            </w:pPr>
            <w:r w:rsidRPr="009A6CFE">
              <w:rPr>
                <w:sz w:val="18"/>
                <w:szCs w:val="18"/>
              </w:rPr>
              <w:t>Nézőpont Intézet hallgatói elégedettség felmérés</w:t>
            </w:r>
          </w:p>
        </w:tc>
        <w:tc>
          <w:tcPr>
            <w:tcW w:w="1299" w:type="dxa"/>
          </w:tcPr>
          <w:p w14:paraId="02082B78" w14:textId="46C84734" w:rsidR="001279D1" w:rsidRPr="009A6CFE" w:rsidRDefault="00A2288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Szakválasztással, szolgáltatásokkal, Egyetemmel és a képzéssel való elégedettség.</w:t>
            </w:r>
          </w:p>
        </w:tc>
        <w:tc>
          <w:tcPr>
            <w:tcW w:w="1300" w:type="dxa"/>
          </w:tcPr>
          <w:p w14:paraId="0E78563D" w14:textId="609F4412" w:rsidR="001279D1" w:rsidRPr="009A6CFE" w:rsidRDefault="001279D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2025.06.11.-06.25.</w:t>
            </w:r>
          </w:p>
        </w:tc>
        <w:tc>
          <w:tcPr>
            <w:tcW w:w="1443" w:type="dxa"/>
          </w:tcPr>
          <w:p w14:paraId="39912C1E" w14:textId="2C7E270F" w:rsidR="001279D1" w:rsidRPr="009A6CFE" w:rsidRDefault="001279D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1376 fő</w:t>
            </w:r>
          </w:p>
        </w:tc>
        <w:tc>
          <w:tcPr>
            <w:tcW w:w="1157" w:type="dxa"/>
          </w:tcPr>
          <w:p w14:paraId="11565018" w14:textId="7162B6F7" w:rsidR="001279D1" w:rsidRPr="009A6CFE" w:rsidRDefault="00C7112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 xml:space="preserve">Teljes minta </w:t>
            </w:r>
            <w:proofErr w:type="spellStart"/>
            <w:r w:rsidRPr="009A6CFE">
              <w:rPr>
                <w:sz w:val="18"/>
                <w:szCs w:val="18"/>
              </w:rPr>
              <w:t>vs</w:t>
            </w:r>
            <w:proofErr w:type="spellEnd"/>
            <w:r w:rsidRPr="009A6CFE">
              <w:rPr>
                <w:sz w:val="18"/>
                <w:szCs w:val="18"/>
              </w:rPr>
              <w:t xml:space="preserve"> BME kitöltők véleménye</w:t>
            </w:r>
          </w:p>
        </w:tc>
        <w:tc>
          <w:tcPr>
            <w:tcW w:w="1300" w:type="dxa"/>
          </w:tcPr>
          <w:p w14:paraId="374B705A" w14:textId="0124A426" w:rsidR="001279D1" w:rsidRPr="009A6CFE" w:rsidRDefault="002A598C"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Egyetemi szinten értelmezhető kérdések esetében releváns kitöltöttségi szint. Szakos, valamint kari következtetésekre nem alkalmas</w:t>
            </w:r>
          </w:p>
        </w:tc>
        <w:tc>
          <w:tcPr>
            <w:tcW w:w="1300" w:type="dxa"/>
          </w:tcPr>
          <w:p w14:paraId="33107D74" w14:textId="78F7452E" w:rsidR="001034DB" w:rsidRPr="009A6CFE" w:rsidRDefault="001034DB"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1. pillér</w:t>
            </w:r>
            <w:r w:rsidRPr="009A6CFE">
              <w:rPr>
                <w:sz w:val="18"/>
                <w:szCs w:val="18"/>
              </w:rPr>
              <w:t>: hallgatói elégedettség benchmark-ja országos és BME-s összehasonlításhoz</w:t>
            </w:r>
          </w:p>
          <w:p w14:paraId="6421F90C" w14:textId="2C09CFDB" w:rsidR="001279D1" w:rsidRPr="009A6CFE" w:rsidRDefault="001034DB"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5. pillér</w:t>
            </w:r>
            <w:r w:rsidRPr="009A6CFE">
              <w:rPr>
                <w:sz w:val="18"/>
                <w:szCs w:val="18"/>
              </w:rPr>
              <w:t>: szakválasztási és képzési elégedettség trendjeinek adhat kontextust</w:t>
            </w:r>
          </w:p>
        </w:tc>
      </w:tr>
      <w:tr w:rsidR="008F18A9" w:rsidRPr="002B0721" w14:paraId="43797B14" w14:textId="77777777" w:rsidTr="001279D1">
        <w:tc>
          <w:tcPr>
            <w:cnfStyle w:val="001000000000" w:firstRow="0" w:lastRow="0" w:firstColumn="1" w:lastColumn="0" w:oddVBand="0" w:evenVBand="0" w:oddHBand="0" w:evenHBand="0" w:firstRowFirstColumn="0" w:firstRowLastColumn="0" w:lastRowFirstColumn="0" w:lastRowLastColumn="0"/>
            <w:tcW w:w="1263" w:type="dxa"/>
          </w:tcPr>
          <w:p w14:paraId="17E7C16A" w14:textId="66CB5FC7" w:rsidR="005A29DE" w:rsidRPr="009A6CFE" w:rsidRDefault="001279D1" w:rsidP="005A29DE">
            <w:pPr>
              <w:rPr>
                <w:sz w:val="18"/>
                <w:szCs w:val="18"/>
              </w:rPr>
            </w:pPr>
            <w:r w:rsidRPr="009A6CFE">
              <w:rPr>
                <w:sz w:val="18"/>
                <w:szCs w:val="18"/>
              </w:rPr>
              <w:t>Munkaerőpiaci (</w:t>
            </w:r>
            <w:proofErr w:type="spellStart"/>
            <w:r w:rsidRPr="009A6CFE">
              <w:rPr>
                <w:sz w:val="18"/>
                <w:szCs w:val="18"/>
              </w:rPr>
              <w:t>PwC</w:t>
            </w:r>
            <w:proofErr w:type="spellEnd"/>
            <w:r w:rsidRPr="009A6CFE">
              <w:rPr>
                <w:sz w:val="18"/>
                <w:szCs w:val="18"/>
              </w:rPr>
              <w:t>) felmérés</w:t>
            </w:r>
          </w:p>
        </w:tc>
        <w:tc>
          <w:tcPr>
            <w:tcW w:w="1299" w:type="dxa"/>
          </w:tcPr>
          <w:p w14:paraId="30F3CE42" w14:textId="3F418ACA" w:rsidR="005A29DE" w:rsidRPr="009A6CFE" w:rsidRDefault="00C71121"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Munkavállalói elvárások, juttatások és munkáltatói vonzerő</w:t>
            </w:r>
          </w:p>
        </w:tc>
        <w:tc>
          <w:tcPr>
            <w:tcW w:w="1300" w:type="dxa"/>
          </w:tcPr>
          <w:p w14:paraId="143C9026" w14:textId="72850EA4" w:rsidR="005A29DE" w:rsidRPr="009A6CFE" w:rsidRDefault="002A598C"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2025</w:t>
            </w:r>
          </w:p>
        </w:tc>
        <w:tc>
          <w:tcPr>
            <w:tcW w:w="1443" w:type="dxa"/>
          </w:tcPr>
          <w:p w14:paraId="7272B0EF" w14:textId="797BABDA" w:rsidR="005A29DE" w:rsidRPr="009A6CFE" w:rsidRDefault="002A598C"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40000 fő</w:t>
            </w:r>
            <w:r w:rsidR="00C71121" w:rsidRPr="009A6CFE">
              <w:rPr>
                <w:sz w:val="18"/>
                <w:szCs w:val="18"/>
              </w:rPr>
              <w:t xml:space="preserve"> országosan, 745 fő BME-ről.</w:t>
            </w:r>
          </w:p>
        </w:tc>
        <w:tc>
          <w:tcPr>
            <w:tcW w:w="1157" w:type="dxa"/>
          </w:tcPr>
          <w:p w14:paraId="34FAA454" w14:textId="70F8532A" w:rsidR="005A29DE" w:rsidRPr="009A6CFE" w:rsidRDefault="00C71121"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Országos</w:t>
            </w:r>
          </w:p>
        </w:tc>
        <w:tc>
          <w:tcPr>
            <w:tcW w:w="1300" w:type="dxa"/>
          </w:tcPr>
          <w:p w14:paraId="0E7F0CC0" w14:textId="64B4A4D6" w:rsidR="005A29DE" w:rsidRPr="009A6CFE" w:rsidRDefault="002A598C"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Nagymintás, országos felmérés, aggregált szinten is megbízható</w:t>
            </w:r>
          </w:p>
        </w:tc>
        <w:tc>
          <w:tcPr>
            <w:tcW w:w="1300" w:type="dxa"/>
          </w:tcPr>
          <w:p w14:paraId="3B18DA3F" w14:textId="08846FC2" w:rsidR="005A29DE" w:rsidRPr="009A6CFE" w:rsidRDefault="00E12767"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b/>
                <w:bCs/>
                <w:sz w:val="18"/>
                <w:szCs w:val="18"/>
              </w:rPr>
              <w:t>3. pillér</w:t>
            </w:r>
            <w:r w:rsidRPr="009A6CFE">
              <w:rPr>
                <w:sz w:val="18"/>
                <w:szCs w:val="18"/>
              </w:rPr>
              <w:t>: munkáltatói elvárások és vonzerő megítélése; munkaerőpiaci relevancia KPI-ok</w:t>
            </w:r>
            <w:r w:rsidR="001034DB" w:rsidRPr="009A6CFE">
              <w:rPr>
                <w:sz w:val="18"/>
                <w:szCs w:val="18"/>
              </w:rPr>
              <w:t>hoz</w:t>
            </w:r>
            <w:r w:rsidRPr="009A6CFE">
              <w:rPr>
                <w:sz w:val="18"/>
                <w:szCs w:val="18"/>
              </w:rPr>
              <w:t xml:space="preserve"> adhat kontextust</w:t>
            </w:r>
          </w:p>
        </w:tc>
      </w:tr>
      <w:tr w:rsidR="008F18A9" w:rsidRPr="002B0721" w14:paraId="295D65DA" w14:textId="77777777" w:rsidTr="0012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tcPr>
          <w:p w14:paraId="26738017" w14:textId="7AC4D020" w:rsidR="005A29DE" w:rsidRPr="009A6CFE" w:rsidRDefault="001279D1" w:rsidP="005A29DE">
            <w:pPr>
              <w:rPr>
                <w:sz w:val="18"/>
                <w:szCs w:val="18"/>
              </w:rPr>
            </w:pPr>
            <w:proofErr w:type="spellStart"/>
            <w:r w:rsidRPr="009A6CFE">
              <w:rPr>
                <w:sz w:val="18"/>
                <w:szCs w:val="18"/>
              </w:rPr>
              <w:t>Munkaerőpiaici</w:t>
            </w:r>
            <w:proofErr w:type="spellEnd"/>
            <w:r w:rsidRPr="009A6CFE">
              <w:rPr>
                <w:sz w:val="18"/>
                <w:szCs w:val="18"/>
              </w:rPr>
              <w:t xml:space="preserve"> (WEF) jövőállóság felmérés</w:t>
            </w:r>
          </w:p>
        </w:tc>
        <w:tc>
          <w:tcPr>
            <w:tcW w:w="1299" w:type="dxa"/>
          </w:tcPr>
          <w:p w14:paraId="3805B352" w14:textId="21B5A063" w:rsidR="005A29DE" w:rsidRPr="009A6CFE" w:rsidRDefault="00C7112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Nemzetközi munkaerőpiaci preferencia, munkáltatói vonzerő és jövőállósági felmérés.</w:t>
            </w:r>
          </w:p>
        </w:tc>
        <w:tc>
          <w:tcPr>
            <w:tcW w:w="1300" w:type="dxa"/>
          </w:tcPr>
          <w:p w14:paraId="4DBD16C6" w14:textId="7DCA258A" w:rsidR="005A29DE" w:rsidRPr="009A6CFE" w:rsidRDefault="002A598C"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2025</w:t>
            </w:r>
          </w:p>
        </w:tc>
        <w:tc>
          <w:tcPr>
            <w:tcW w:w="1443" w:type="dxa"/>
          </w:tcPr>
          <w:p w14:paraId="6A1F766E" w14:textId="03476E3C" w:rsidR="005A29DE" w:rsidRPr="009A6CFE" w:rsidRDefault="00C7112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1000+ fő munkáltató, összesen 14 millió fő alkalmazott munkáltatója.</w:t>
            </w:r>
          </w:p>
        </w:tc>
        <w:tc>
          <w:tcPr>
            <w:tcW w:w="1157" w:type="dxa"/>
          </w:tcPr>
          <w:p w14:paraId="540F4542" w14:textId="090A6B41" w:rsidR="005A29DE" w:rsidRPr="009A6CFE" w:rsidRDefault="00C71121"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Nemzetközi, iparág és ország szerint</w:t>
            </w:r>
          </w:p>
        </w:tc>
        <w:tc>
          <w:tcPr>
            <w:tcW w:w="1300" w:type="dxa"/>
          </w:tcPr>
          <w:p w14:paraId="68E0D302" w14:textId="6FC14659" w:rsidR="005A29DE" w:rsidRPr="009A6CFE" w:rsidRDefault="002A598C"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Nemzetközi, nagymintás munkáltatói felmérés; aggregált szinten megbízható</w:t>
            </w:r>
          </w:p>
        </w:tc>
        <w:tc>
          <w:tcPr>
            <w:tcW w:w="1300" w:type="dxa"/>
          </w:tcPr>
          <w:p w14:paraId="72E62DE5" w14:textId="71146E40" w:rsidR="001034DB" w:rsidRPr="009A6CFE" w:rsidRDefault="001034DB" w:rsidP="005A29DE">
            <w:pPr>
              <w:cnfStyle w:val="000000100000" w:firstRow="0" w:lastRow="0" w:firstColumn="0" w:lastColumn="0" w:oddVBand="0" w:evenVBand="0" w:oddHBand="1" w:evenHBand="0" w:firstRowFirstColumn="0" w:firstRowLastColumn="0" w:lastRowFirstColumn="0" w:lastRowLastColumn="0"/>
              <w:rPr>
                <w:b/>
                <w:bCs/>
                <w:sz w:val="18"/>
                <w:szCs w:val="18"/>
              </w:rPr>
            </w:pPr>
            <w:r w:rsidRPr="009A6CFE">
              <w:rPr>
                <w:b/>
                <w:bCs/>
                <w:sz w:val="18"/>
                <w:szCs w:val="18"/>
              </w:rPr>
              <w:t>3. pillér</w:t>
            </w:r>
            <w:r w:rsidRPr="009A6CFE">
              <w:rPr>
                <w:sz w:val="18"/>
                <w:szCs w:val="18"/>
              </w:rPr>
              <w:t>:</w:t>
            </w:r>
            <w:r w:rsidRPr="009A6CFE">
              <w:rPr>
                <w:b/>
                <w:bCs/>
                <w:sz w:val="18"/>
                <w:szCs w:val="18"/>
              </w:rPr>
              <w:t xml:space="preserve"> </w:t>
            </w:r>
            <w:r w:rsidRPr="009A6CFE">
              <w:rPr>
                <w:sz w:val="18"/>
                <w:szCs w:val="18"/>
              </w:rPr>
              <w:t>munkaerőpiaci kompetencia-illeszkedés külső referenciapontja</w:t>
            </w:r>
          </w:p>
          <w:p w14:paraId="140BF25C" w14:textId="23A5B3E9" w:rsidR="005A29DE" w:rsidRPr="009A6CFE" w:rsidRDefault="001034DB" w:rsidP="005A29DE">
            <w:pPr>
              <w:cnfStyle w:val="000000100000" w:firstRow="0" w:lastRow="0" w:firstColumn="0" w:lastColumn="0" w:oddVBand="0" w:evenVBand="0" w:oddHBand="1" w:evenHBand="0" w:firstRowFirstColumn="0" w:firstRowLastColumn="0" w:lastRowFirstColumn="0" w:lastRowLastColumn="0"/>
              <w:rPr>
                <w:sz w:val="18"/>
                <w:szCs w:val="18"/>
              </w:rPr>
            </w:pPr>
            <w:r w:rsidRPr="009A6CFE">
              <w:rPr>
                <w:b/>
                <w:bCs/>
                <w:sz w:val="18"/>
                <w:szCs w:val="18"/>
              </w:rPr>
              <w:t xml:space="preserve">4. pillér: </w:t>
            </w:r>
            <w:r w:rsidRPr="009A6CFE">
              <w:rPr>
                <w:sz w:val="18"/>
                <w:szCs w:val="18"/>
              </w:rPr>
              <w:t>2025–2030-as munkakör- és készségtrendek, AI és zöld átmenet hatásai a mérnöki szektorra; tantervi korszerűség és jövőállóság megítéléséhez</w:t>
            </w:r>
          </w:p>
        </w:tc>
      </w:tr>
      <w:tr w:rsidR="00950215" w:rsidRPr="002B0721" w14:paraId="23DB3E52" w14:textId="77777777" w:rsidTr="001279D1">
        <w:tc>
          <w:tcPr>
            <w:cnfStyle w:val="001000000000" w:firstRow="0" w:lastRow="0" w:firstColumn="1" w:lastColumn="0" w:oddVBand="0" w:evenVBand="0" w:oddHBand="0" w:evenHBand="0" w:firstRowFirstColumn="0" w:firstRowLastColumn="0" w:lastRowFirstColumn="0" w:lastRowLastColumn="0"/>
            <w:tcW w:w="1263" w:type="dxa"/>
          </w:tcPr>
          <w:p w14:paraId="2621CD9B" w14:textId="7A7E17CA" w:rsidR="009B49B8" w:rsidRPr="009A6CFE" w:rsidRDefault="009B49B8" w:rsidP="005A29DE">
            <w:pPr>
              <w:rPr>
                <w:sz w:val="18"/>
                <w:szCs w:val="18"/>
              </w:rPr>
            </w:pPr>
            <w:r w:rsidRPr="009A6CFE">
              <w:rPr>
                <w:sz w:val="18"/>
                <w:szCs w:val="18"/>
              </w:rPr>
              <w:t>UDL – EU szintű jó gyakorlatok gyűjteménye</w:t>
            </w:r>
          </w:p>
        </w:tc>
        <w:tc>
          <w:tcPr>
            <w:tcW w:w="1299" w:type="dxa"/>
          </w:tcPr>
          <w:p w14:paraId="79D982BB" w14:textId="4EC40C17" w:rsidR="009B49B8" w:rsidRPr="009A6CFE" w:rsidRDefault="008F18A9"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T</w:t>
            </w:r>
            <w:r w:rsidR="009B49B8" w:rsidRPr="009A6CFE">
              <w:rPr>
                <w:sz w:val="18"/>
                <w:szCs w:val="18"/>
              </w:rPr>
              <w:t xml:space="preserve">anterv </w:t>
            </w:r>
            <w:proofErr w:type="spellStart"/>
            <w:r w:rsidR="009B49B8" w:rsidRPr="009A6CFE">
              <w:rPr>
                <w:sz w:val="18"/>
                <w:szCs w:val="18"/>
              </w:rPr>
              <w:t>újratervezése</w:t>
            </w:r>
            <w:proofErr w:type="spellEnd"/>
            <w:r w:rsidR="009B49B8" w:rsidRPr="009A6CFE">
              <w:rPr>
                <w:sz w:val="18"/>
                <w:szCs w:val="18"/>
              </w:rPr>
              <w:t xml:space="preserve">; tanítási és tanulási módszerek korszerűsítése; befogadó értékelési gyakorlatok; fogyatékossági szolgáltatások szerepe a változásban. Tartalmaz </w:t>
            </w:r>
            <w:proofErr w:type="spellStart"/>
            <w:r w:rsidR="009B49B8" w:rsidRPr="009A6CFE">
              <w:rPr>
                <w:sz w:val="18"/>
                <w:szCs w:val="18"/>
              </w:rPr>
              <w:t>fogalomtárat</w:t>
            </w:r>
            <w:proofErr w:type="spellEnd"/>
            <w:r w:rsidR="009B49B8" w:rsidRPr="009A6CFE">
              <w:rPr>
                <w:sz w:val="18"/>
                <w:szCs w:val="18"/>
              </w:rPr>
              <w:t>, esettanulmányokat és gyakorlati ellenőrzőlistákat.</w:t>
            </w:r>
          </w:p>
        </w:tc>
        <w:tc>
          <w:tcPr>
            <w:tcW w:w="1300" w:type="dxa"/>
          </w:tcPr>
          <w:p w14:paraId="28792E74" w14:textId="407EA505" w:rsidR="009B49B8" w:rsidRPr="009A6CFE" w:rsidRDefault="009B49B8"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2016 (Erasmus+ projekt, 2014–2016)</w:t>
            </w:r>
          </w:p>
        </w:tc>
        <w:tc>
          <w:tcPr>
            <w:tcW w:w="1443" w:type="dxa"/>
          </w:tcPr>
          <w:p w14:paraId="4BF7EEFB" w14:textId="5054A4E8" w:rsidR="009B49B8" w:rsidRPr="009A6CFE" w:rsidRDefault="009B49B8"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4 érintetti fókuszcsoport: hallgatók, oktatók, intézményvezetők, hallgatói támogatási szolgáltatások; 5 európai partnerország</w:t>
            </w:r>
          </w:p>
        </w:tc>
        <w:tc>
          <w:tcPr>
            <w:tcW w:w="1157" w:type="dxa"/>
          </w:tcPr>
          <w:p w14:paraId="01980108" w14:textId="5BC8B9B5" w:rsidR="009B49B8" w:rsidRPr="009A6CFE" w:rsidRDefault="009B49B8"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Érintetti szerepkör szerint; intézménytípus szerint</w:t>
            </w:r>
          </w:p>
        </w:tc>
        <w:tc>
          <w:tcPr>
            <w:tcW w:w="1300" w:type="dxa"/>
          </w:tcPr>
          <w:p w14:paraId="3F6C4E52" w14:textId="5E49691D" w:rsidR="009B49B8" w:rsidRPr="009A6CFE" w:rsidRDefault="009B49B8" w:rsidP="005A29DE">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Kvalitatív jó gyakorlat-gyűjtemény; európai kontextusra épül, magyarországi adaptáció szükséges; az irányelvek nem empirikus mérési adatok</w:t>
            </w:r>
          </w:p>
        </w:tc>
        <w:tc>
          <w:tcPr>
            <w:tcW w:w="1300" w:type="dxa"/>
          </w:tcPr>
          <w:p w14:paraId="39058565" w14:textId="1667B55F" w:rsidR="009B49B8" w:rsidRPr="009A6CFE" w:rsidRDefault="009B49B8" w:rsidP="005A29DE">
            <w:pPr>
              <w:cnfStyle w:val="000000000000" w:firstRow="0" w:lastRow="0" w:firstColumn="0" w:lastColumn="0" w:oddVBand="0" w:evenVBand="0" w:oddHBand="0" w:evenHBand="0" w:firstRowFirstColumn="0" w:firstRowLastColumn="0" w:lastRowFirstColumn="0" w:lastRowLastColumn="0"/>
              <w:rPr>
                <w:b/>
                <w:bCs/>
                <w:sz w:val="18"/>
                <w:szCs w:val="18"/>
              </w:rPr>
            </w:pPr>
            <w:r w:rsidRPr="009A6CFE">
              <w:rPr>
                <w:b/>
                <w:bCs/>
                <w:sz w:val="18"/>
                <w:szCs w:val="18"/>
              </w:rPr>
              <w:t>8. pillér</w:t>
            </w:r>
            <w:r w:rsidRPr="009A6CFE">
              <w:rPr>
                <w:sz w:val="18"/>
                <w:szCs w:val="18"/>
              </w:rPr>
              <w:t>: az UDL elvek; döntési opciók és fejlesztési javaslatok megalapozásához</w:t>
            </w:r>
          </w:p>
        </w:tc>
      </w:tr>
      <w:tr w:rsidR="0048504B" w:rsidRPr="002B0721" w14:paraId="6670B752" w14:textId="77777777" w:rsidTr="00127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3" w:type="dxa"/>
          </w:tcPr>
          <w:p w14:paraId="0648CB3F" w14:textId="3A418128" w:rsidR="0048504B" w:rsidRPr="009A6CFE" w:rsidRDefault="0048504B" w:rsidP="005A29DE">
            <w:pPr>
              <w:rPr>
                <w:sz w:val="18"/>
                <w:szCs w:val="18"/>
              </w:rPr>
            </w:pPr>
            <w:r>
              <w:rPr>
                <w:sz w:val="18"/>
                <w:szCs w:val="18"/>
              </w:rPr>
              <w:t>&lt;&lt;KITÖLTENDŐ&gt;&gt;</w:t>
            </w:r>
          </w:p>
        </w:tc>
        <w:tc>
          <w:tcPr>
            <w:tcW w:w="1299" w:type="dxa"/>
          </w:tcPr>
          <w:p w14:paraId="31A9D92C" w14:textId="0F90C6B2" w:rsidR="0048504B" w:rsidRPr="009A6CFE" w:rsidRDefault="0048504B" w:rsidP="005A29D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&lt;&lt;KITÖLTENDŐ&gt;&gt;</w:t>
            </w:r>
          </w:p>
        </w:tc>
        <w:tc>
          <w:tcPr>
            <w:tcW w:w="1300" w:type="dxa"/>
          </w:tcPr>
          <w:p w14:paraId="5BFD4A0B" w14:textId="4E437719" w:rsidR="0048504B" w:rsidRPr="009A6CFE" w:rsidRDefault="0048504B" w:rsidP="005A29D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&lt;&lt;KITÖLTENDŐ&gt;&gt;</w:t>
            </w:r>
          </w:p>
        </w:tc>
        <w:tc>
          <w:tcPr>
            <w:tcW w:w="1443" w:type="dxa"/>
          </w:tcPr>
          <w:p w14:paraId="1F0E78C4" w14:textId="2A3F1953" w:rsidR="0048504B" w:rsidRPr="009A6CFE" w:rsidRDefault="0048504B" w:rsidP="005A29D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&lt;&lt;KITÖLTENDŐ&gt;&gt;</w:t>
            </w:r>
          </w:p>
        </w:tc>
        <w:tc>
          <w:tcPr>
            <w:tcW w:w="1157" w:type="dxa"/>
          </w:tcPr>
          <w:p w14:paraId="093BB8D8" w14:textId="147A1542" w:rsidR="0048504B" w:rsidRPr="009A6CFE" w:rsidRDefault="0048504B" w:rsidP="005A29D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&lt;&lt;KITÖLTENDŐ&gt;&gt;</w:t>
            </w:r>
          </w:p>
        </w:tc>
        <w:tc>
          <w:tcPr>
            <w:tcW w:w="1300" w:type="dxa"/>
          </w:tcPr>
          <w:p w14:paraId="532EEE70" w14:textId="6E4D93D1" w:rsidR="0048504B" w:rsidRPr="009A6CFE" w:rsidRDefault="0048504B" w:rsidP="005A29DE">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&lt;&lt;KITÖLTENDŐ&gt;&gt;</w:t>
            </w:r>
          </w:p>
        </w:tc>
        <w:tc>
          <w:tcPr>
            <w:tcW w:w="1300" w:type="dxa"/>
          </w:tcPr>
          <w:p w14:paraId="4A7E32D3" w14:textId="7144D9B2" w:rsidR="0048504B" w:rsidRPr="009A6CFE" w:rsidRDefault="0048504B" w:rsidP="005A29DE">
            <w:pPr>
              <w:cnfStyle w:val="000000100000" w:firstRow="0" w:lastRow="0" w:firstColumn="0" w:lastColumn="0" w:oddVBand="0" w:evenVBand="0" w:oddHBand="1" w:evenHBand="0" w:firstRowFirstColumn="0" w:firstRowLastColumn="0" w:lastRowFirstColumn="0" w:lastRowLastColumn="0"/>
              <w:rPr>
                <w:b/>
                <w:bCs/>
                <w:sz w:val="18"/>
                <w:szCs w:val="18"/>
              </w:rPr>
            </w:pPr>
            <w:r>
              <w:rPr>
                <w:sz w:val="18"/>
                <w:szCs w:val="18"/>
              </w:rPr>
              <w:t>&lt;&lt;KITÖLTENDŐ&gt;&gt;</w:t>
            </w:r>
          </w:p>
        </w:tc>
      </w:tr>
    </w:tbl>
    <w:p w14:paraId="7F191909" w14:textId="77777777" w:rsidR="005A29DE" w:rsidRPr="002B0721" w:rsidRDefault="005A29DE" w:rsidP="005A29DE">
      <w:pPr>
        <w:pStyle w:val="Heading2"/>
      </w:pPr>
      <w:r w:rsidRPr="002B0721">
        <w:t xml:space="preserve">Definíciók </w:t>
      </w:r>
    </w:p>
    <w:p w14:paraId="265731BF" w14:textId="77777777" w:rsidR="00E93DBB" w:rsidRDefault="00032A4C">
      <w:pPr>
        <w:pStyle w:val="Infobox"/>
      </w:pPr>
      <w:r>
        <w:t xml:space="preserve">INFOBOX: Ebben a részben a jelentésben használt kulcsfogalmakat és mutatódefiníciókat kell egységesen rögzíteni. Ilyenek például a kreditelőrehaladás, a lemorzsolódás, az átlagos képzési idő, a képzésnek megfelelő elhelyezkedés vagy a kritikus tantárgy. A definíciók hiánya könnyen félreértelmezéshez vezethet, különösen akkor, ha több adatforrásból származó mutatókat hasonlítanak össze. Ez az alfejezet biztosítja, hogy a jelentés minden szereplője ugyanazt értse az egyes indikátorok alatt. </w:t>
      </w:r>
    </w:p>
    <w:p w14:paraId="00E25AFF" w14:textId="6D45B5AA" w:rsidR="00DA0DBC" w:rsidRDefault="00032A4C">
      <w:pPr>
        <w:pStyle w:val="Infobox"/>
      </w:pPr>
      <w:r>
        <w:t>Kapcsolódó ESG: 1.7 Információkezelés és 1.9 A képzési programok folyamatos figyelemmel kísérése és rendszeres értékelése.</w:t>
      </w:r>
    </w:p>
    <w:p w14:paraId="4BB63645" w14:textId="31C653DA" w:rsidR="00DB13F7" w:rsidRPr="00F754D3" w:rsidRDefault="00DB13F7" w:rsidP="00DB13F7">
      <w:pPr>
        <w:rPr>
          <w:i/>
          <w:color w:val="005A9C"/>
        </w:rPr>
      </w:pPr>
      <w:r w:rsidRPr="00F754D3">
        <w:rPr>
          <w:b/>
          <w:bCs/>
          <w:i/>
          <w:color w:val="005A9C"/>
        </w:rPr>
        <w:t>Kreditelőrehaladás:</w:t>
      </w:r>
      <w:r w:rsidRPr="00F754D3">
        <w:rPr>
          <w:i/>
          <w:color w:val="005A9C"/>
        </w:rPr>
        <w:t xml:space="preserve"> A képzésen megszerzett és elismert kreditek összesített számának és a lezárt aktív félévek számának hányadosaként előálló, egy félévre jutó átlagos kreditszám.</w:t>
      </w:r>
    </w:p>
    <w:p w14:paraId="1FA2C39C" w14:textId="77777777" w:rsidR="00FD191E" w:rsidRDefault="00DB13F7" w:rsidP="00DB13F7">
      <w:pPr>
        <w:rPr>
          <w:i/>
          <w:color w:val="005A9C"/>
        </w:rPr>
      </w:pPr>
      <w:r w:rsidRPr="00DB13F7">
        <w:rPr>
          <w:b/>
          <w:bCs/>
          <w:i/>
          <w:color w:val="005A9C"/>
        </w:rPr>
        <w:t>Lemorzsolódás:</w:t>
      </w:r>
      <w:r w:rsidRPr="00DB13F7">
        <w:rPr>
          <w:i/>
          <w:color w:val="005A9C"/>
        </w:rPr>
        <w:t xml:space="preserve"> Lemorzsolódással zárul az a mesterképzés, amelynek megszűnési oka hatósági nyilvántartásban rögzített</w:t>
      </w:r>
      <w:r w:rsidR="00FD191E">
        <w:rPr>
          <w:i/>
          <w:color w:val="005A9C"/>
        </w:rPr>
        <w:t>:</w:t>
      </w:r>
    </w:p>
    <w:p w14:paraId="54195F47" w14:textId="71D9D203" w:rsidR="00FD191E" w:rsidRPr="00FD191E" w:rsidRDefault="00FD191E" w:rsidP="00B064BC">
      <w:pPr>
        <w:pStyle w:val="ListParagraph"/>
        <w:numPr>
          <w:ilvl w:val="0"/>
          <w:numId w:val="25"/>
        </w:numPr>
        <w:rPr>
          <w:i/>
          <w:color w:val="005A9C"/>
        </w:rPr>
      </w:pPr>
      <w:r w:rsidRPr="00FD191E">
        <w:rPr>
          <w:i/>
          <w:color w:val="005A9C"/>
        </w:rPr>
        <w:t>saját bejelentés a képzés megszakítására,</w:t>
      </w:r>
    </w:p>
    <w:p w14:paraId="6C69129D" w14:textId="790E227A" w:rsidR="00FD191E" w:rsidRPr="00FD191E" w:rsidRDefault="00FD191E" w:rsidP="00B064BC">
      <w:pPr>
        <w:pStyle w:val="ListParagraph"/>
        <w:numPr>
          <w:ilvl w:val="0"/>
          <w:numId w:val="25"/>
        </w:numPr>
        <w:rPr>
          <w:i/>
          <w:color w:val="005A9C"/>
        </w:rPr>
      </w:pPr>
      <w:r w:rsidRPr="00FD191E">
        <w:rPr>
          <w:i/>
          <w:color w:val="005A9C"/>
        </w:rPr>
        <w:t>bejelentkezés elmulasztása a megengedettnél többször,</w:t>
      </w:r>
    </w:p>
    <w:p w14:paraId="15FBF97D" w14:textId="3A441A09" w:rsidR="00FD191E" w:rsidRPr="00FD191E" w:rsidRDefault="00FD191E" w:rsidP="00B064BC">
      <w:pPr>
        <w:pStyle w:val="ListParagraph"/>
        <w:numPr>
          <w:ilvl w:val="0"/>
          <w:numId w:val="25"/>
        </w:numPr>
        <w:rPr>
          <w:i/>
          <w:color w:val="005A9C"/>
        </w:rPr>
      </w:pPr>
      <w:r w:rsidRPr="00FD191E">
        <w:rPr>
          <w:i/>
          <w:color w:val="005A9C"/>
        </w:rPr>
        <w:t>képzési kötelezettségek nem teljesítése,</w:t>
      </w:r>
    </w:p>
    <w:p w14:paraId="7F805F92" w14:textId="77777777" w:rsidR="00FD191E" w:rsidRPr="00FD191E" w:rsidRDefault="00FD191E" w:rsidP="00B064BC">
      <w:pPr>
        <w:pStyle w:val="ListParagraph"/>
        <w:numPr>
          <w:ilvl w:val="0"/>
          <w:numId w:val="25"/>
        </w:numPr>
        <w:rPr>
          <w:i/>
          <w:color w:val="005A9C"/>
        </w:rPr>
      </w:pPr>
      <w:r w:rsidRPr="00FD191E">
        <w:rPr>
          <w:i/>
          <w:color w:val="005A9C"/>
        </w:rPr>
        <w:t>a sikertelen javító és ismétlő javító vizsgák megengedett számának túllépése vagy</w:t>
      </w:r>
    </w:p>
    <w:p w14:paraId="50E4739F" w14:textId="60D8FD75" w:rsidR="00FD191E" w:rsidRPr="00FD191E" w:rsidRDefault="00FD191E" w:rsidP="00B064BC">
      <w:pPr>
        <w:pStyle w:val="ListParagraph"/>
        <w:numPr>
          <w:ilvl w:val="0"/>
          <w:numId w:val="25"/>
        </w:numPr>
        <w:rPr>
          <w:i/>
          <w:color w:val="005A9C"/>
        </w:rPr>
      </w:pPr>
      <w:r w:rsidRPr="00FD191E">
        <w:rPr>
          <w:i/>
          <w:color w:val="005A9C"/>
        </w:rPr>
        <w:t>költségtérítés nem vállalása átsoroláskor.</w:t>
      </w:r>
      <w:r w:rsidR="00DB13F7" w:rsidRPr="00FD191E">
        <w:rPr>
          <w:i/>
          <w:color w:val="005A9C"/>
        </w:rPr>
        <w:t xml:space="preserve"> </w:t>
      </w:r>
    </w:p>
    <w:p w14:paraId="7616101A" w14:textId="77777777" w:rsidR="00FD191E" w:rsidRDefault="00FD191E" w:rsidP="00FD191E">
      <w:pPr>
        <w:rPr>
          <w:i/>
          <w:color w:val="005A9C"/>
        </w:rPr>
      </w:pPr>
      <w:r>
        <w:rPr>
          <w:i/>
          <w:color w:val="005A9C"/>
        </w:rPr>
        <w:t>Továbbá</w:t>
      </w:r>
      <w:r w:rsidR="00DB13F7" w:rsidRPr="00DB13F7">
        <w:rPr>
          <w:i/>
          <w:color w:val="005A9C"/>
        </w:rPr>
        <w:t xml:space="preserve"> a megszűnés </w:t>
      </w:r>
      <w:proofErr w:type="spellStart"/>
      <w:r w:rsidR="00DB13F7" w:rsidRPr="00F754D3">
        <w:rPr>
          <w:i/>
          <w:color w:val="005A9C"/>
        </w:rPr>
        <w:t>BSc</w:t>
      </w:r>
      <w:proofErr w:type="spellEnd"/>
      <w:r w:rsidR="00DB13F7" w:rsidRPr="00F754D3">
        <w:rPr>
          <w:i/>
          <w:color w:val="005A9C"/>
        </w:rPr>
        <w:t xml:space="preserve"> esetében az </w:t>
      </w:r>
      <w:r w:rsidR="00DB13F7" w:rsidRPr="00DB13F7">
        <w:rPr>
          <w:i/>
          <w:color w:val="005A9C"/>
        </w:rPr>
        <w:t xml:space="preserve">első </w:t>
      </w:r>
      <w:r w:rsidR="00DB13F7" w:rsidRPr="00F754D3">
        <w:rPr>
          <w:i/>
          <w:color w:val="005A9C"/>
        </w:rPr>
        <w:t xml:space="preserve">4, </w:t>
      </w:r>
      <w:proofErr w:type="spellStart"/>
      <w:r w:rsidR="00DB13F7" w:rsidRPr="00F754D3">
        <w:rPr>
          <w:i/>
          <w:color w:val="005A9C"/>
        </w:rPr>
        <w:t>MSc</w:t>
      </w:r>
      <w:proofErr w:type="spellEnd"/>
      <w:r w:rsidR="00DB13F7" w:rsidRPr="00F754D3">
        <w:rPr>
          <w:i/>
          <w:color w:val="005A9C"/>
        </w:rPr>
        <w:t xml:space="preserve"> esetében az első 2, osztatlan képzés esetében az első 6</w:t>
      </w:r>
      <w:r w:rsidR="00DB13F7" w:rsidRPr="00DB13F7">
        <w:rPr>
          <w:i/>
          <w:color w:val="005A9C"/>
        </w:rPr>
        <w:t xml:space="preserve"> aktív féléven belül következik be</w:t>
      </w:r>
      <w:r>
        <w:rPr>
          <w:i/>
          <w:color w:val="005A9C"/>
        </w:rPr>
        <w:t>.</w:t>
      </w:r>
      <w:r w:rsidR="00DB13F7" w:rsidRPr="00F754D3">
        <w:rPr>
          <w:i/>
          <w:color w:val="005A9C"/>
        </w:rPr>
        <w:t xml:space="preserve"> </w:t>
      </w:r>
    </w:p>
    <w:p w14:paraId="2AF116FF" w14:textId="52C8A2B0" w:rsidR="00FD191E" w:rsidRPr="00FD191E" w:rsidRDefault="00FD191E" w:rsidP="00FD191E">
      <w:pPr>
        <w:rPr>
          <w:i/>
          <w:color w:val="005A9C"/>
        </w:rPr>
      </w:pPr>
      <w:r w:rsidRPr="00FD191E">
        <w:rPr>
          <w:b/>
          <w:bCs/>
          <w:i/>
          <w:color w:val="005A9C"/>
          <w:u w:val="single"/>
        </w:rPr>
        <w:t>Nem</w:t>
      </w:r>
      <w:r>
        <w:rPr>
          <w:i/>
          <w:color w:val="005A9C"/>
        </w:rPr>
        <w:t xml:space="preserve"> számít lemorzsolódó hallgatónak, aki: á</w:t>
      </w:r>
      <w:r w:rsidR="00DB13F7" w:rsidRPr="00F754D3">
        <w:rPr>
          <w:i/>
          <w:color w:val="005A9C"/>
        </w:rPr>
        <w:t>tvételi eljárás</w:t>
      </w:r>
      <w:r>
        <w:rPr>
          <w:i/>
          <w:color w:val="005A9C"/>
        </w:rPr>
        <w:t>ban vesz részt;</w:t>
      </w:r>
      <w:r w:rsidRPr="00FD191E">
        <w:rPr>
          <w:i/>
          <w:color w:val="005A9C"/>
        </w:rPr>
        <w:t xml:space="preserve"> "Diplomát szerzett" vagy "Abszolvált", ÉS a képzésmegszűnés indok</w:t>
      </w:r>
    </w:p>
    <w:p w14:paraId="7E0C0747" w14:textId="77777777" w:rsidR="00FD191E" w:rsidRPr="00FD191E" w:rsidRDefault="00FD191E" w:rsidP="00B064BC">
      <w:pPr>
        <w:pStyle w:val="ListParagraph"/>
        <w:numPr>
          <w:ilvl w:val="0"/>
          <w:numId w:val="26"/>
        </w:numPr>
        <w:rPr>
          <w:i/>
          <w:color w:val="005A9C"/>
        </w:rPr>
      </w:pPr>
      <w:r w:rsidRPr="00FD191E">
        <w:rPr>
          <w:i/>
          <w:color w:val="005A9C"/>
        </w:rPr>
        <w:t>Tanulmányok befejezése, végbizonyítvány megszerzése kimeneti vizsga nélkül</w:t>
      </w:r>
    </w:p>
    <w:p w14:paraId="284CD799" w14:textId="2E803C69" w:rsidR="00DB13F7" w:rsidRPr="00FD191E" w:rsidRDefault="00FD191E" w:rsidP="00B064BC">
      <w:pPr>
        <w:pStyle w:val="ListParagraph"/>
        <w:numPr>
          <w:ilvl w:val="0"/>
          <w:numId w:val="26"/>
        </w:numPr>
        <w:rPr>
          <w:i/>
          <w:color w:val="005A9C"/>
        </w:rPr>
      </w:pPr>
      <w:r w:rsidRPr="00FD191E">
        <w:rPr>
          <w:i/>
          <w:color w:val="005A9C"/>
        </w:rPr>
        <w:t>Sikeres kimeneti vizsga</w:t>
      </w:r>
      <w:r w:rsidR="00DB13F7" w:rsidRPr="00FD191E">
        <w:rPr>
          <w:i/>
          <w:color w:val="005A9C"/>
        </w:rPr>
        <w:t xml:space="preserve">esetén </w:t>
      </w:r>
      <w:r w:rsidRPr="00FD191E">
        <w:rPr>
          <w:i/>
          <w:color w:val="005A9C"/>
        </w:rPr>
        <w:t>nem</w:t>
      </w:r>
      <w:r w:rsidR="00DB13F7" w:rsidRPr="00FD191E">
        <w:rPr>
          <w:i/>
          <w:color w:val="005A9C"/>
        </w:rPr>
        <w:t xml:space="preserve"> minősül lemorzsolódónak a hallgató).</w:t>
      </w:r>
    </w:p>
    <w:p w14:paraId="26F7DCF4" w14:textId="4D5D9163" w:rsidR="00DB13F7" w:rsidRPr="00DB13F7" w:rsidRDefault="00DB13F7" w:rsidP="00DB13F7">
      <w:pPr>
        <w:rPr>
          <w:i/>
          <w:color w:val="005A9C"/>
        </w:rPr>
      </w:pPr>
      <w:r w:rsidRPr="00DB13F7">
        <w:rPr>
          <w:b/>
          <w:bCs/>
          <w:i/>
          <w:color w:val="005A9C"/>
        </w:rPr>
        <w:t>Átlagos képzési idő:</w:t>
      </w:r>
      <w:r w:rsidRPr="00DB13F7">
        <w:rPr>
          <w:i/>
          <w:color w:val="005A9C"/>
        </w:rPr>
        <w:t xml:space="preserve"> A képzést oklevéllel záró hallgatók aktív féléveinek száma;</w:t>
      </w:r>
      <w:r w:rsidRPr="00F754D3">
        <w:rPr>
          <w:i/>
          <w:color w:val="005A9C"/>
        </w:rPr>
        <w:t xml:space="preserve"> Az átlagos képzési idő a képzés tervezett idejétől való </w:t>
      </w:r>
      <w:r w:rsidRPr="00DB13F7">
        <w:rPr>
          <w:i/>
          <w:color w:val="005A9C"/>
        </w:rPr>
        <w:t>eltérése az előrehaladási nehézségek jelzőjeként értelmezhető.</w:t>
      </w:r>
    </w:p>
    <w:p w14:paraId="0DE4445A" w14:textId="167364A7" w:rsidR="00DB13F7" w:rsidRPr="00DB13F7" w:rsidRDefault="00DB13F7" w:rsidP="00DB13F7">
      <w:pPr>
        <w:rPr>
          <w:i/>
          <w:color w:val="005A9C"/>
        </w:rPr>
      </w:pPr>
      <w:r w:rsidRPr="00DB13F7">
        <w:rPr>
          <w:b/>
          <w:bCs/>
          <w:i/>
          <w:color w:val="005A9C"/>
        </w:rPr>
        <w:t>Képzésnek megfelelő elhelyezkedés:</w:t>
      </w:r>
      <w:r w:rsidRPr="00DB13F7">
        <w:rPr>
          <w:i/>
          <w:color w:val="005A9C"/>
        </w:rPr>
        <w:t xml:space="preserve"> Az </w:t>
      </w:r>
      <w:proofErr w:type="spellStart"/>
      <w:r w:rsidRPr="00DB13F7">
        <w:rPr>
          <w:i/>
          <w:color w:val="005A9C"/>
        </w:rPr>
        <w:t>alumni</w:t>
      </w:r>
      <w:proofErr w:type="spellEnd"/>
      <w:r w:rsidRPr="00DB13F7">
        <w:rPr>
          <w:i/>
          <w:color w:val="005A9C"/>
        </w:rPr>
        <w:t xml:space="preserve"> munkavállalásának minősítése a BME Felvételi Szabályzata 1. mellékletének 10. pontjában szakonként meghatározott FEOR-kód lista alapján történik.</w:t>
      </w:r>
    </w:p>
    <w:p w14:paraId="06C98B55" w14:textId="50ADA08B" w:rsidR="005A29DE" w:rsidRPr="00DB13F7" w:rsidRDefault="00DB13F7" w:rsidP="005A29DE">
      <w:pPr>
        <w:rPr>
          <w:i/>
          <w:color w:val="005A9C"/>
        </w:rPr>
      </w:pPr>
      <w:r w:rsidRPr="00DB13F7">
        <w:rPr>
          <w:b/>
          <w:bCs/>
          <w:i/>
          <w:color w:val="005A9C"/>
        </w:rPr>
        <w:t>Kritikus tantárgy:</w:t>
      </w:r>
      <w:r w:rsidRPr="00DB13F7">
        <w:rPr>
          <w:i/>
          <w:color w:val="005A9C"/>
        </w:rPr>
        <w:t xml:space="preserve"> Olyan </w:t>
      </w:r>
      <w:r w:rsidR="000A2AD5" w:rsidRPr="00F754D3">
        <w:rPr>
          <w:i/>
          <w:color w:val="005A9C"/>
        </w:rPr>
        <w:t>tantárgy</w:t>
      </w:r>
      <w:r w:rsidRPr="00DB13F7">
        <w:rPr>
          <w:i/>
          <w:color w:val="005A9C"/>
        </w:rPr>
        <w:t>, amelyen az adott félévben a hallgatók legalább 30%-a nem szerez aláírást vagy elégtele</w:t>
      </w:r>
      <w:r w:rsidR="000A2AD5" w:rsidRPr="00F754D3">
        <w:rPr>
          <w:i/>
          <w:color w:val="005A9C"/>
        </w:rPr>
        <w:t>n érdemjegyet kap</w:t>
      </w:r>
      <w:r w:rsidRPr="00DB13F7">
        <w:rPr>
          <w:i/>
          <w:color w:val="005A9C"/>
        </w:rPr>
        <w:t xml:space="preserve">, </w:t>
      </w:r>
      <w:r w:rsidR="000A2AD5" w:rsidRPr="00B064BC">
        <w:rPr>
          <w:b/>
          <w:bCs/>
          <w:i/>
          <w:color w:val="005A9C"/>
        </w:rPr>
        <w:t>kiemelten kritikus</w:t>
      </w:r>
      <w:r w:rsidR="000A2AD5" w:rsidRPr="00F754D3">
        <w:rPr>
          <w:i/>
          <w:color w:val="005A9C"/>
        </w:rPr>
        <w:t xml:space="preserve"> azon tantárgy, amely emellett</w:t>
      </w:r>
      <w:r w:rsidRPr="00DB13F7">
        <w:rPr>
          <w:i/>
          <w:color w:val="005A9C"/>
        </w:rPr>
        <w:t xml:space="preserve"> </w:t>
      </w:r>
      <w:r w:rsidR="000A2AD5" w:rsidRPr="00F754D3">
        <w:rPr>
          <w:i/>
          <w:color w:val="005A9C"/>
        </w:rPr>
        <w:t xml:space="preserve">erős vagy gyenge előkövetelménye </w:t>
      </w:r>
      <w:r w:rsidRPr="00DB13F7">
        <w:rPr>
          <w:i/>
          <w:color w:val="005A9C"/>
        </w:rPr>
        <w:t xml:space="preserve">legalább egy másik </w:t>
      </w:r>
      <w:r w:rsidR="000A2AD5" w:rsidRPr="00F754D3">
        <w:rPr>
          <w:i/>
          <w:color w:val="005A9C"/>
        </w:rPr>
        <w:t xml:space="preserve">mintatantervi </w:t>
      </w:r>
      <w:r w:rsidRPr="00DB13F7">
        <w:rPr>
          <w:i/>
          <w:color w:val="005A9C"/>
        </w:rPr>
        <w:t>tantárgynak.</w:t>
      </w:r>
    </w:p>
    <w:p w14:paraId="7CF2F32C" w14:textId="77777777" w:rsidR="00ED0AA2" w:rsidRPr="002B0721" w:rsidRDefault="005A29DE" w:rsidP="00ED0AA2">
      <w:pPr>
        <w:pStyle w:val="Heading2"/>
      </w:pPr>
      <w:r w:rsidRPr="002B0721">
        <w:t xml:space="preserve">Elemzési eszköztár </w:t>
      </w:r>
    </w:p>
    <w:p w14:paraId="0F67ECA4" w14:textId="77777777" w:rsidR="00DA0DBC" w:rsidRDefault="00032A4C">
      <w:pPr>
        <w:pStyle w:val="Infobox"/>
      </w:pPr>
      <w:r>
        <w:t xml:space="preserve">INFOBOX: Itt röviden indokolja meg, hogy a jelentés milyen elemzési módszereket használ, és ezek milyen típusú döntéseket támogatnak. A trendvizsgálat, benchmark, szegmentáció, </w:t>
      </w:r>
      <w:proofErr w:type="spellStart"/>
      <w:r>
        <w:t>Gap</w:t>
      </w:r>
      <w:proofErr w:type="spellEnd"/>
      <w:r>
        <w:t xml:space="preserve">/IPA elemzés, tantervi mátrix, tanulási út elemzés vagy </w:t>
      </w:r>
      <w:proofErr w:type="gramStart"/>
      <w:r>
        <w:t>ESCO-alapú</w:t>
      </w:r>
      <w:proofErr w:type="gramEnd"/>
      <w:r>
        <w:t xml:space="preserve"> kompetenciatérkép eltérő kérdésekre ad választ. Fontos, hogy ne minden eszköz jelenjen meg automatikusan, hanem csak az, amely valóban releváns az adott program számára. Ez a rész segít az olvasónak értelmezni, miért olyan formában jelennek meg az eredmények, ahogy a jelentés későbbi fejezeteiben látja. Kapcsolódó ESG: 1.7 Információkezelés és 1.9 A képzési programok folyamatos figyelemmel kísérése és rendszeres értékelése.</w:t>
      </w:r>
    </w:p>
    <w:p w14:paraId="73E66CA3" w14:textId="77777777" w:rsidR="00593570" w:rsidRDefault="00593570" w:rsidP="00ED0AA2"/>
    <w:p w14:paraId="18156871" w14:textId="7C0150E3" w:rsidR="00593570" w:rsidRDefault="00593570" w:rsidP="00593570">
      <w:pPr>
        <w:pStyle w:val="Infobox"/>
        <w:spacing w:after="0"/>
      </w:pPr>
      <w:r>
        <w:t>INFOBOX</w:t>
      </w:r>
    </w:p>
    <w:p w14:paraId="05C60F78" w14:textId="2FA640EC" w:rsidR="00593570" w:rsidRPr="00593570" w:rsidRDefault="00593570" w:rsidP="00593570">
      <w:pPr>
        <w:pStyle w:val="Infobox"/>
        <w:spacing w:after="0"/>
      </w:pPr>
      <w:r w:rsidRPr="00593570">
        <w:t xml:space="preserve">1) </w:t>
      </w:r>
      <w:proofErr w:type="spellStart"/>
      <w:r w:rsidRPr="00593570">
        <w:t>Gap</w:t>
      </w:r>
      <w:proofErr w:type="spellEnd"/>
      <w:r w:rsidRPr="00593570">
        <w:t xml:space="preserve"> = „rés” (hiány)</w:t>
      </w:r>
    </w:p>
    <w:p w14:paraId="1A4C3302" w14:textId="77777777" w:rsidR="00593570" w:rsidRPr="00593570" w:rsidRDefault="00593570" w:rsidP="00593570">
      <w:pPr>
        <w:pStyle w:val="Infobox"/>
        <w:spacing w:after="0"/>
      </w:pPr>
      <w:r w:rsidRPr="00593570">
        <w:t xml:space="preserve">A </w:t>
      </w:r>
      <w:proofErr w:type="spellStart"/>
      <w:r w:rsidRPr="00593570">
        <w:t>gap</w:t>
      </w:r>
      <w:proofErr w:type="spellEnd"/>
      <w:r w:rsidRPr="00593570">
        <w:t xml:space="preserve"> azt fejezi ki, hogy mekkora az eltérés a</w:t>
      </w:r>
    </w:p>
    <w:p w14:paraId="784D80FB" w14:textId="77777777" w:rsidR="00593570" w:rsidRPr="00593570" w:rsidRDefault="00593570" w:rsidP="00593570">
      <w:pPr>
        <w:pStyle w:val="Infobox"/>
        <w:spacing w:after="0"/>
      </w:pPr>
      <w:r w:rsidRPr="00593570">
        <w:rPr>
          <w:i/>
          <w:iCs/>
        </w:rPr>
        <w:t>kívánt/elfogadható szint</w:t>
      </w:r>
      <w:r w:rsidRPr="00593570">
        <w:t xml:space="preserve"> (elvárás, célérték) és a</w:t>
      </w:r>
    </w:p>
    <w:p w14:paraId="505A124C" w14:textId="77777777" w:rsidR="00593570" w:rsidRPr="00593570" w:rsidRDefault="00593570" w:rsidP="00593570">
      <w:pPr>
        <w:pStyle w:val="Infobox"/>
        <w:spacing w:after="0"/>
      </w:pPr>
      <w:r w:rsidRPr="00593570">
        <w:rPr>
          <w:i/>
          <w:iCs/>
        </w:rPr>
        <w:t>ténylegesen mért szint</w:t>
      </w:r>
      <w:r w:rsidRPr="00593570">
        <w:t xml:space="preserve"> (elégedettség, teljesítmény, kimenet)</w:t>
      </w:r>
    </w:p>
    <w:p w14:paraId="2A7CC3DA" w14:textId="77777777" w:rsidR="00593570" w:rsidRPr="00593570" w:rsidRDefault="00593570" w:rsidP="00593570">
      <w:pPr>
        <w:pStyle w:val="Infobox"/>
        <w:spacing w:after="0"/>
      </w:pPr>
      <w:r w:rsidRPr="00593570">
        <w:t>között.</w:t>
      </w:r>
    </w:p>
    <w:p w14:paraId="0F725EA9" w14:textId="77777777" w:rsidR="00593570" w:rsidRPr="00593570" w:rsidRDefault="00593570" w:rsidP="00593570">
      <w:pPr>
        <w:pStyle w:val="Infobox"/>
        <w:spacing w:after="0"/>
      </w:pPr>
      <w:r w:rsidRPr="00593570">
        <w:t xml:space="preserve">Példa: a hallgatók a „visszajelzés gyorsaságát” nagyon fontosnak tartják, de alacsonyra értékelik </w:t>
      </w:r>
      <w:r w:rsidRPr="00593570">
        <w:rPr>
          <w:rFonts w:ascii="Times New Roman" w:hAnsi="Times New Roman" w:cs="Times New Roman"/>
        </w:rPr>
        <w:t>→</w:t>
      </w:r>
      <w:r w:rsidRPr="00593570">
        <w:t xml:space="preserve"> nagy </w:t>
      </w:r>
      <w:proofErr w:type="spellStart"/>
      <w:r w:rsidRPr="00593570">
        <w:t>gap</w:t>
      </w:r>
      <w:proofErr w:type="spellEnd"/>
      <w:r w:rsidRPr="00593570">
        <w:t>.</w:t>
      </w:r>
    </w:p>
    <w:p w14:paraId="31A6326B" w14:textId="77777777" w:rsidR="00593570" w:rsidRPr="00593570" w:rsidRDefault="00593570" w:rsidP="00593570">
      <w:pPr>
        <w:pStyle w:val="Infobox"/>
        <w:spacing w:after="0"/>
      </w:pPr>
      <w:r w:rsidRPr="00593570">
        <w:t xml:space="preserve">2) IPA = </w:t>
      </w:r>
      <w:proofErr w:type="spellStart"/>
      <w:r w:rsidRPr="00593570">
        <w:t>Importance</w:t>
      </w:r>
      <w:proofErr w:type="spellEnd"/>
      <w:r w:rsidRPr="00593570">
        <w:t xml:space="preserve">–Performance </w:t>
      </w:r>
      <w:proofErr w:type="spellStart"/>
      <w:r w:rsidRPr="00593570">
        <w:t>Analysis</w:t>
      </w:r>
      <w:proofErr w:type="spellEnd"/>
      <w:r w:rsidRPr="00593570">
        <w:t xml:space="preserve"> (fontosság–teljesítmény elemzés)</w:t>
      </w:r>
    </w:p>
    <w:p w14:paraId="4FE8EF1D" w14:textId="77777777" w:rsidR="00593570" w:rsidRPr="00593570" w:rsidRDefault="00593570" w:rsidP="00593570">
      <w:pPr>
        <w:pStyle w:val="Infobox"/>
        <w:spacing w:after="0"/>
      </w:pPr>
      <w:r w:rsidRPr="00593570">
        <w:t>Az IPA a válaszadóktól két dolgot kér ugyanarra a témára:</w:t>
      </w:r>
    </w:p>
    <w:p w14:paraId="362A06E0" w14:textId="77777777" w:rsidR="00593570" w:rsidRPr="00593570" w:rsidRDefault="00593570" w:rsidP="00593570">
      <w:pPr>
        <w:pStyle w:val="Infobox"/>
        <w:spacing w:after="0"/>
      </w:pPr>
      <w:r w:rsidRPr="00593570">
        <w:t>Fontosság (</w:t>
      </w:r>
      <w:proofErr w:type="spellStart"/>
      <w:r w:rsidRPr="00593570">
        <w:t>importance</w:t>
      </w:r>
      <w:proofErr w:type="spellEnd"/>
      <w:r w:rsidRPr="00593570">
        <w:t>): mennyire fontos nekik ez a terület?</w:t>
      </w:r>
    </w:p>
    <w:p w14:paraId="055682F7" w14:textId="77777777" w:rsidR="00593570" w:rsidRPr="00593570" w:rsidRDefault="00593570" w:rsidP="00593570">
      <w:pPr>
        <w:pStyle w:val="Infobox"/>
        <w:spacing w:after="0"/>
      </w:pPr>
      <w:r w:rsidRPr="00593570">
        <w:t>Teljesítmény/elégedettség (performance): mennyire jó most?</w:t>
      </w:r>
    </w:p>
    <w:p w14:paraId="62EAEB0F" w14:textId="77777777" w:rsidR="00593570" w:rsidRPr="00593570" w:rsidRDefault="00593570" w:rsidP="00593570">
      <w:pPr>
        <w:pStyle w:val="Infobox"/>
        <w:spacing w:after="0"/>
      </w:pPr>
      <w:r w:rsidRPr="00593570">
        <w:t>Ezt a két dimenziót koordináta-rendszerbe tesszük.</w:t>
      </w:r>
    </w:p>
    <w:p w14:paraId="69489A87" w14:textId="77777777" w:rsidR="00593570" w:rsidRPr="00593570" w:rsidRDefault="00593570" w:rsidP="00593570">
      <w:pPr>
        <w:pStyle w:val="Infobox"/>
        <w:spacing w:after="0"/>
      </w:pPr>
      <w:r w:rsidRPr="00593570">
        <w:t>Hogyan néz ki a mátrix?</w:t>
      </w:r>
    </w:p>
    <w:p w14:paraId="215D2574" w14:textId="77777777" w:rsidR="00593570" w:rsidRPr="00593570" w:rsidRDefault="00593570" w:rsidP="00593570">
      <w:pPr>
        <w:pStyle w:val="Infobox"/>
        <w:spacing w:after="0"/>
      </w:pPr>
      <w:r w:rsidRPr="00593570">
        <w:t xml:space="preserve">X tengely: Teljesítmény / elégedettség (alacsony </w:t>
      </w:r>
      <w:r w:rsidRPr="00593570">
        <w:rPr>
          <w:rFonts w:ascii="Times New Roman" w:hAnsi="Times New Roman" w:cs="Times New Roman"/>
        </w:rPr>
        <w:t>→</w:t>
      </w:r>
      <w:r w:rsidRPr="00593570">
        <w:t xml:space="preserve"> magas)</w:t>
      </w:r>
    </w:p>
    <w:p w14:paraId="0D72A903" w14:textId="77777777" w:rsidR="00593570" w:rsidRPr="00593570" w:rsidRDefault="00593570" w:rsidP="00593570">
      <w:pPr>
        <w:pStyle w:val="Infobox"/>
        <w:spacing w:after="0"/>
      </w:pPr>
      <w:r w:rsidRPr="00593570">
        <w:t xml:space="preserve">Y tengely: Fontosság (alacsony </w:t>
      </w:r>
      <w:r w:rsidRPr="00593570">
        <w:rPr>
          <w:rFonts w:ascii="Times New Roman" w:hAnsi="Times New Roman" w:cs="Times New Roman"/>
        </w:rPr>
        <w:t>→</w:t>
      </w:r>
      <w:r w:rsidRPr="00593570">
        <w:t xml:space="preserve"> magas)</w:t>
      </w:r>
    </w:p>
    <w:p w14:paraId="02CA91B7" w14:textId="77777777" w:rsidR="00593570" w:rsidRPr="00593570" w:rsidRDefault="00593570" w:rsidP="00593570">
      <w:pPr>
        <w:pStyle w:val="Infobox"/>
        <w:spacing w:after="0"/>
      </w:pPr>
      <w:r w:rsidRPr="00593570">
        <w:t xml:space="preserve">A térképen minden pont egy téma (pl. „tanterv érthetősége”, „gyakorlatok minősége”, „adminisztráció”, „értékelés </w:t>
      </w:r>
      <w:proofErr w:type="spellStart"/>
      <w:r w:rsidRPr="00593570">
        <w:t>fairness</w:t>
      </w:r>
      <w:proofErr w:type="spellEnd"/>
      <w:r w:rsidRPr="00593570">
        <w:t>”, „eszközök”).</w:t>
      </w:r>
    </w:p>
    <w:p w14:paraId="3044C0BF" w14:textId="77777777" w:rsidR="00593570" w:rsidRPr="00593570" w:rsidRDefault="00593570" w:rsidP="00593570">
      <w:pPr>
        <w:pStyle w:val="Infobox"/>
        <w:spacing w:after="0"/>
      </w:pPr>
      <w:r w:rsidRPr="00593570">
        <w:t>A 4 tipikus negyed (és mit jelent döntés szempontból)</w:t>
      </w:r>
    </w:p>
    <w:p w14:paraId="58A319C2" w14:textId="77777777" w:rsidR="00593570" w:rsidRPr="00593570" w:rsidRDefault="00593570" w:rsidP="00593570">
      <w:pPr>
        <w:pStyle w:val="Infobox"/>
        <w:spacing w:after="0"/>
        <w:jc w:val="left"/>
      </w:pPr>
      <w:r w:rsidRPr="00593570">
        <w:t>Magas fontosság – alacsony teljesítmény</w:t>
      </w:r>
      <w:r w:rsidRPr="00593570">
        <w:br/>
      </w:r>
      <w:r w:rsidRPr="00593570">
        <w:rPr>
          <w:rFonts w:ascii="Times New Roman" w:hAnsi="Times New Roman" w:cs="Times New Roman"/>
        </w:rPr>
        <w:t>→</w:t>
      </w:r>
      <w:r w:rsidRPr="00593570">
        <w:t xml:space="preserve"> </w:t>
      </w:r>
      <w:r w:rsidRPr="00593570">
        <w:rPr>
          <w:i/>
          <w:iCs/>
        </w:rPr>
        <w:t>„Azonnali fejlesztési prioritás”</w:t>
      </w:r>
      <w:r w:rsidRPr="00593570">
        <w:t xml:space="preserve"> (itt a legnagyobb a haszon a beavatkozásból)</w:t>
      </w:r>
    </w:p>
    <w:p w14:paraId="04200511" w14:textId="77777777" w:rsidR="00593570" w:rsidRPr="00593570" w:rsidRDefault="00593570" w:rsidP="00593570">
      <w:pPr>
        <w:pStyle w:val="Infobox"/>
        <w:spacing w:after="0"/>
        <w:jc w:val="left"/>
      </w:pPr>
      <w:r w:rsidRPr="00593570">
        <w:t>Magas fontosság – magas teljesítmény</w:t>
      </w:r>
      <w:r w:rsidRPr="00593570">
        <w:br/>
      </w:r>
      <w:r w:rsidRPr="00593570">
        <w:rPr>
          <w:rFonts w:ascii="Times New Roman" w:hAnsi="Times New Roman" w:cs="Times New Roman"/>
        </w:rPr>
        <w:t>→</w:t>
      </w:r>
      <w:r w:rsidRPr="00593570">
        <w:t xml:space="preserve"> </w:t>
      </w:r>
      <w:r w:rsidRPr="00593570">
        <w:rPr>
          <w:i/>
          <w:iCs/>
        </w:rPr>
        <w:t>„Tartsd fenn / védd meg”</w:t>
      </w:r>
      <w:r w:rsidRPr="00593570">
        <w:t xml:space="preserve"> (erősség, ne rontsuk el reform közben)</w:t>
      </w:r>
    </w:p>
    <w:p w14:paraId="5B6F0BA1" w14:textId="77777777" w:rsidR="00593570" w:rsidRPr="00593570" w:rsidRDefault="00593570" w:rsidP="00593570">
      <w:pPr>
        <w:pStyle w:val="Infobox"/>
        <w:spacing w:after="0"/>
        <w:jc w:val="left"/>
      </w:pPr>
      <w:r w:rsidRPr="00593570">
        <w:t>Alacsony fontosság – alacsony teljesítmény</w:t>
      </w:r>
      <w:r w:rsidRPr="00593570">
        <w:br/>
      </w:r>
      <w:r w:rsidRPr="00593570">
        <w:rPr>
          <w:rFonts w:ascii="Times New Roman" w:hAnsi="Times New Roman" w:cs="Times New Roman"/>
        </w:rPr>
        <w:t>→</w:t>
      </w:r>
      <w:r w:rsidRPr="00593570">
        <w:t xml:space="preserve"> </w:t>
      </w:r>
      <w:r w:rsidRPr="00593570">
        <w:rPr>
          <w:i/>
          <w:iCs/>
        </w:rPr>
        <w:t>„Nem sürgős / csak ha olcsó”</w:t>
      </w:r>
      <w:r w:rsidRPr="00593570">
        <w:t xml:space="preserve"> (jó jelölt </w:t>
      </w:r>
      <w:proofErr w:type="spellStart"/>
      <w:r w:rsidRPr="00593570">
        <w:t>quick</w:t>
      </w:r>
      <w:proofErr w:type="spellEnd"/>
      <w:r w:rsidRPr="00593570">
        <w:t xml:space="preserve"> </w:t>
      </w:r>
      <w:proofErr w:type="spellStart"/>
      <w:r w:rsidRPr="00593570">
        <w:t>winre</w:t>
      </w:r>
      <w:proofErr w:type="spellEnd"/>
      <w:r w:rsidRPr="00593570">
        <w:t>, de nem stratégiai)</w:t>
      </w:r>
    </w:p>
    <w:p w14:paraId="4E1E1101" w14:textId="77777777" w:rsidR="00593570" w:rsidRPr="00593570" w:rsidRDefault="00593570" w:rsidP="00593570">
      <w:pPr>
        <w:pStyle w:val="Infobox"/>
        <w:spacing w:after="0"/>
        <w:jc w:val="left"/>
      </w:pPr>
      <w:r w:rsidRPr="00593570">
        <w:t>Alacsony fontosság – magas teljesítmény</w:t>
      </w:r>
      <w:r w:rsidRPr="00593570">
        <w:br/>
      </w:r>
      <w:r w:rsidRPr="00593570">
        <w:rPr>
          <w:rFonts w:ascii="Times New Roman" w:hAnsi="Times New Roman" w:cs="Times New Roman"/>
        </w:rPr>
        <w:t>→</w:t>
      </w:r>
      <w:r w:rsidRPr="00593570">
        <w:t xml:space="preserve"> </w:t>
      </w:r>
      <w:r w:rsidRPr="00593570">
        <w:rPr>
          <w:i/>
          <w:iCs/>
        </w:rPr>
        <w:t>„Lehet túl-allokáció”</w:t>
      </w:r>
      <w:r w:rsidRPr="00593570">
        <w:t xml:space="preserve"> (érdemes megvizsgálni, nem költünk-e túl sokat ide)</w:t>
      </w:r>
    </w:p>
    <w:p w14:paraId="15070948" w14:textId="77777777" w:rsidR="00593570" w:rsidRPr="00593570" w:rsidRDefault="00593570" w:rsidP="00593570">
      <w:pPr>
        <w:pStyle w:val="Infobox"/>
        <w:spacing w:after="0"/>
      </w:pPr>
      <w:r w:rsidRPr="00593570">
        <w:t xml:space="preserve">A </w:t>
      </w:r>
      <w:proofErr w:type="spellStart"/>
      <w:r w:rsidRPr="00593570">
        <w:t>gap</w:t>
      </w:r>
      <w:proofErr w:type="spellEnd"/>
      <w:r w:rsidRPr="00593570">
        <w:t xml:space="preserve"> tipikusan így számolható:</w:t>
      </w:r>
    </w:p>
    <w:p w14:paraId="49FBBA64" w14:textId="77777777" w:rsidR="00593570" w:rsidRPr="00593570" w:rsidRDefault="00593570" w:rsidP="00593570">
      <w:pPr>
        <w:pStyle w:val="Infobox"/>
        <w:spacing w:after="0"/>
      </w:pPr>
      <w:proofErr w:type="spellStart"/>
      <w:r w:rsidRPr="00593570">
        <w:t>Gap</w:t>
      </w:r>
      <w:proofErr w:type="spellEnd"/>
      <w:r w:rsidRPr="00593570">
        <w:t xml:space="preserve"> = Fontosság – Teljesítmény (mindkettő ugyanazon skálán, pl. 1–5)</w:t>
      </w:r>
    </w:p>
    <w:p w14:paraId="592A60BF" w14:textId="77777777" w:rsidR="00593570" w:rsidRPr="00593570" w:rsidRDefault="00593570" w:rsidP="00593570">
      <w:pPr>
        <w:pStyle w:val="Infobox"/>
        <w:spacing w:after="0"/>
      </w:pPr>
      <w:r w:rsidRPr="00593570">
        <w:t xml:space="preserve">vagy célértékhez viszonyítva: </w:t>
      </w:r>
      <w:proofErr w:type="spellStart"/>
      <w:r w:rsidRPr="00593570">
        <w:t>Gap</w:t>
      </w:r>
      <w:proofErr w:type="spellEnd"/>
      <w:r w:rsidRPr="00593570">
        <w:t xml:space="preserve"> = Cél – Tényleges</w:t>
      </w:r>
    </w:p>
    <w:p w14:paraId="49CE7819" w14:textId="77777777" w:rsidR="00593570" w:rsidRPr="00593570" w:rsidRDefault="00593570" w:rsidP="00593570">
      <w:pPr>
        <w:pStyle w:val="Infobox"/>
        <w:spacing w:after="0"/>
        <w:jc w:val="left"/>
      </w:pPr>
      <w:r w:rsidRPr="00593570">
        <w:t>A „</w:t>
      </w:r>
      <w:proofErr w:type="spellStart"/>
      <w:r w:rsidRPr="00593570">
        <w:t>Gap</w:t>
      </w:r>
      <w:proofErr w:type="spellEnd"/>
      <w:r w:rsidRPr="00593570">
        <w:t>/IPA” kifejezés ezért gyakran azt jelenti:</w:t>
      </w:r>
      <w:r w:rsidRPr="00593570">
        <w:br/>
        <w:t xml:space="preserve">IPA mátrix + a </w:t>
      </w:r>
      <w:proofErr w:type="spellStart"/>
      <w:r w:rsidRPr="00593570">
        <w:t>gap</w:t>
      </w:r>
      <w:proofErr w:type="spellEnd"/>
      <w:r w:rsidRPr="00593570">
        <w:t xml:space="preserve"> értékek számszerűsítése, hogy a prioritásokat ne csak „ránézésre”, hanem rangsorolva is ki lehessen mondani.</w:t>
      </w:r>
    </w:p>
    <w:p w14:paraId="38CC3122" w14:textId="77777777" w:rsidR="00593570" w:rsidRDefault="00593570" w:rsidP="00ED0AA2"/>
    <w:p w14:paraId="20EDFF03" w14:textId="69E2B1CF" w:rsidR="005A29DE" w:rsidRPr="002B0721" w:rsidRDefault="00ED0AA2" w:rsidP="00ED0AA2">
      <w:r w:rsidRPr="002B0721">
        <w:t>Mutassa be, hogy az elemzéshez melyeket használta</w:t>
      </w:r>
    </w:p>
    <w:p w14:paraId="655CC8BD" w14:textId="064DEA07" w:rsidR="005A29DE" w:rsidRPr="002B0721" w:rsidRDefault="005A29DE" w:rsidP="00ED0AA2">
      <w:pPr>
        <w:pStyle w:val="ListParagraph"/>
        <w:numPr>
          <w:ilvl w:val="0"/>
          <w:numId w:val="2"/>
        </w:numPr>
        <w:jc w:val="left"/>
      </w:pPr>
      <w:proofErr w:type="gramStart"/>
      <w:r w:rsidRPr="002B0721">
        <w:t>[</w:t>
      </w:r>
      <w:r w:rsidR="00FD191E">
        <w:t xml:space="preserve"> </w:t>
      </w:r>
      <w:r w:rsidRPr="002B0721">
        <w:t>]</w:t>
      </w:r>
      <w:proofErr w:type="gramEnd"/>
      <w:r w:rsidRPr="002B0721">
        <w:t xml:space="preserve"> Trend</w:t>
      </w:r>
      <w:r w:rsidR="00ED0AA2" w:rsidRPr="002B0721">
        <w:t>ek [felvételi, továbbtanulás, oklevélszerzés stb.]</w:t>
      </w:r>
      <w:r w:rsidRPr="002B0721">
        <w:t xml:space="preserve"> (3-5 év) + töréspontok</w:t>
      </w:r>
    </w:p>
    <w:p w14:paraId="338DF2C5" w14:textId="06C05F69" w:rsidR="005A29DE" w:rsidRPr="002B0721" w:rsidRDefault="005A29DE" w:rsidP="00ED0AA2">
      <w:pPr>
        <w:pStyle w:val="ListParagraph"/>
        <w:numPr>
          <w:ilvl w:val="0"/>
          <w:numId w:val="2"/>
        </w:numPr>
        <w:jc w:val="left"/>
      </w:pPr>
      <w:proofErr w:type="gramStart"/>
      <w:r w:rsidRPr="002B0721">
        <w:t>[</w:t>
      </w:r>
      <w:r w:rsidR="00FD191E">
        <w:t xml:space="preserve"> </w:t>
      </w:r>
      <w:r w:rsidRPr="002B0721">
        <w:t>]</w:t>
      </w:r>
      <w:proofErr w:type="gramEnd"/>
      <w:r w:rsidRPr="002B0721">
        <w:t xml:space="preserve"> Benchmark (országos/európai)</w:t>
      </w:r>
    </w:p>
    <w:p w14:paraId="67A74FEC" w14:textId="77777777" w:rsidR="005A29DE" w:rsidRPr="002B0721" w:rsidRDefault="005A29DE" w:rsidP="00ED0AA2">
      <w:pPr>
        <w:pStyle w:val="ListParagraph"/>
        <w:numPr>
          <w:ilvl w:val="0"/>
          <w:numId w:val="2"/>
        </w:numPr>
        <w:jc w:val="left"/>
      </w:pPr>
      <w:proofErr w:type="gramStart"/>
      <w:r w:rsidRPr="002B0721">
        <w:t>[ ]</w:t>
      </w:r>
      <w:proofErr w:type="gramEnd"/>
      <w:r w:rsidRPr="002B0721">
        <w:t xml:space="preserve"> Szegmentáció (pl. dolgozó </w:t>
      </w:r>
      <w:proofErr w:type="spellStart"/>
      <w:r w:rsidRPr="002B0721">
        <w:t>vs</w:t>
      </w:r>
      <w:proofErr w:type="spellEnd"/>
      <w:r w:rsidRPr="002B0721">
        <w:t xml:space="preserve">. nem; HU </w:t>
      </w:r>
      <w:proofErr w:type="spellStart"/>
      <w:r w:rsidRPr="002B0721">
        <w:t>vs</w:t>
      </w:r>
      <w:proofErr w:type="spellEnd"/>
      <w:r w:rsidRPr="002B0721">
        <w:t xml:space="preserve">. </w:t>
      </w:r>
      <w:proofErr w:type="spellStart"/>
      <w:r w:rsidRPr="002B0721">
        <w:t>international</w:t>
      </w:r>
      <w:proofErr w:type="spellEnd"/>
      <w:r w:rsidRPr="002B0721">
        <w:t>)</w:t>
      </w:r>
    </w:p>
    <w:p w14:paraId="18B20134" w14:textId="5E6EAE78" w:rsidR="005A29DE" w:rsidRPr="002B0721" w:rsidRDefault="005A29DE" w:rsidP="00ED0AA2">
      <w:pPr>
        <w:pStyle w:val="ListParagraph"/>
        <w:numPr>
          <w:ilvl w:val="0"/>
          <w:numId w:val="2"/>
        </w:numPr>
        <w:jc w:val="left"/>
      </w:pPr>
      <w:proofErr w:type="gramStart"/>
      <w:r w:rsidRPr="002B0721">
        <w:t>[</w:t>
      </w:r>
      <w:r w:rsidR="00FD191E">
        <w:t xml:space="preserve"> </w:t>
      </w:r>
      <w:r w:rsidRPr="002B0721">
        <w:t>]</w:t>
      </w:r>
      <w:proofErr w:type="gramEnd"/>
      <w:r w:rsidRPr="002B0721">
        <w:t xml:space="preserve"> </w:t>
      </w:r>
      <w:proofErr w:type="spellStart"/>
      <w:r w:rsidRPr="002B0721">
        <w:t>Gap</w:t>
      </w:r>
      <w:proofErr w:type="spellEnd"/>
      <w:r w:rsidRPr="002B0721">
        <w:t>-analízis (fontosság x elégedettség)</w:t>
      </w:r>
    </w:p>
    <w:p w14:paraId="7FE4F404" w14:textId="3AB8000B" w:rsidR="005A29DE" w:rsidRPr="002B0721" w:rsidRDefault="005A29DE" w:rsidP="00ED0AA2">
      <w:pPr>
        <w:pStyle w:val="ListParagraph"/>
        <w:numPr>
          <w:ilvl w:val="0"/>
          <w:numId w:val="2"/>
        </w:numPr>
        <w:jc w:val="left"/>
      </w:pPr>
      <w:proofErr w:type="gramStart"/>
      <w:r w:rsidRPr="002B0721">
        <w:t>[</w:t>
      </w:r>
      <w:r w:rsidR="00FD191E">
        <w:t xml:space="preserve"> </w:t>
      </w:r>
      <w:r w:rsidRPr="002B0721">
        <w:t>]</w:t>
      </w:r>
      <w:proofErr w:type="gramEnd"/>
      <w:r w:rsidRPr="002B0721">
        <w:t xml:space="preserve"> </w:t>
      </w:r>
      <w:r w:rsidR="00ED0AA2" w:rsidRPr="002B0721">
        <w:t>Tanulási utak, tantervi hálók</w:t>
      </w:r>
      <w:r w:rsidRPr="002B0721">
        <w:t xml:space="preserve"> / kritikus pontok elemzése</w:t>
      </w:r>
    </w:p>
    <w:p w14:paraId="0D722C47" w14:textId="77777777" w:rsidR="005A29DE" w:rsidRPr="002B0721" w:rsidRDefault="005A29DE" w:rsidP="00ED0AA2">
      <w:pPr>
        <w:pStyle w:val="ListParagraph"/>
        <w:numPr>
          <w:ilvl w:val="0"/>
          <w:numId w:val="2"/>
        </w:numPr>
        <w:jc w:val="left"/>
      </w:pPr>
      <w:proofErr w:type="gramStart"/>
      <w:r w:rsidRPr="002B0721">
        <w:t>[ ]</w:t>
      </w:r>
      <w:proofErr w:type="gramEnd"/>
      <w:r w:rsidRPr="002B0721">
        <w:t xml:space="preserve"> Tantervi mátrix (</w:t>
      </w:r>
      <w:r w:rsidR="00ED0AA2" w:rsidRPr="002B0721">
        <w:t>KKK tanulási eredmények</w:t>
      </w:r>
      <w:r w:rsidRPr="002B0721">
        <w:t xml:space="preserve"> </w:t>
      </w:r>
      <w:r w:rsidR="00ED0AA2" w:rsidRPr="002B0721">
        <w:rPr>
          <w:rFonts w:ascii="Wingdings" w:eastAsia="Wingdings" w:hAnsi="Wingdings" w:cs="Wingdings"/>
        </w:rPr>
        <w:t>ßà</w:t>
      </w:r>
      <w:r w:rsidRPr="002B0721">
        <w:t xml:space="preserve"> </w:t>
      </w:r>
      <w:r w:rsidR="00ED0AA2" w:rsidRPr="002B0721">
        <w:t>tantárgyi tanulási eredmények</w:t>
      </w:r>
      <w:r w:rsidRPr="002B0721">
        <w:t>) + Bloom</w:t>
      </w:r>
    </w:p>
    <w:p w14:paraId="701945C7" w14:textId="77777777" w:rsidR="005A29DE" w:rsidRPr="002B0721" w:rsidRDefault="005A29DE" w:rsidP="00ED0AA2">
      <w:pPr>
        <w:pStyle w:val="ListParagraph"/>
        <w:numPr>
          <w:ilvl w:val="0"/>
          <w:numId w:val="2"/>
        </w:numPr>
        <w:jc w:val="left"/>
      </w:pPr>
      <w:proofErr w:type="gramStart"/>
      <w:r w:rsidRPr="002B0721">
        <w:t>[ ]</w:t>
      </w:r>
      <w:proofErr w:type="gramEnd"/>
      <w:r w:rsidRPr="002B0721">
        <w:t xml:space="preserve"> ESCO-alapú kompetenciatérkép</w:t>
      </w:r>
    </w:p>
    <w:p w14:paraId="1496E705" w14:textId="06D49CA9" w:rsidR="005A29DE" w:rsidRPr="002B0721" w:rsidRDefault="005A29DE" w:rsidP="00ED0AA2">
      <w:pPr>
        <w:pStyle w:val="ListParagraph"/>
        <w:numPr>
          <w:ilvl w:val="0"/>
          <w:numId w:val="2"/>
        </w:numPr>
        <w:jc w:val="left"/>
      </w:pPr>
      <w:proofErr w:type="gramStart"/>
      <w:r w:rsidRPr="002B0721">
        <w:t>[</w:t>
      </w:r>
      <w:r w:rsidR="00FD191E">
        <w:t xml:space="preserve"> </w:t>
      </w:r>
      <w:r w:rsidRPr="002B0721">
        <w:t>]</w:t>
      </w:r>
      <w:proofErr w:type="gramEnd"/>
      <w:r w:rsidRPr="002B0721">
        <w:t xml:space="preserve"> Kockázatelemzés és intézkedés-tervezés</w:t>
      </w:r>
    </w:p>
    <w:p w14:paraId="7C296AE0" w14:textId="77777777" w:rsidR="00677ED0" w:rsidRDefault="00677ED0" w:rsidP="00677ED0"/>
    <w:p w14:paraId="5BF61F31" w14:textId="77777777" w:rsidR="00677ED0" w:rsidRPr="00677ED0" w:rsidRDefault="00677ED0" w:rsidP="00677ED0"/>
    <w:p w14:paraId="0C17728C" w14:textId="77777777" w:rsidR="0092683F" w:rsidRPr="002B0721" w:rsidRDefault="0092683F">
      <w:pPr>
        <w:spacing w:after="160" w:line="259" w:lineRule="auto"/>
        <w:jc w:val="left"/>
      </w:pPr>
      <w:r w:rsidRPr="002B0721">
        <w:br w:type="page"/>
      </w:r>
    </w:p>
    <w:p w14:paraId="7A920CDE" w14:textId="77777777" w:rsidR="0092683F" w:rsidRPr="002B0721" w:rsidRDefault="0092683F" w:rsidP="0092683F">
      <w:pPr>
        <w:pStyle w:val="Heading1"/>
      </w:pPr>
      <w:r w:rsidRPr="002B0721">
        <w:t>Érintetti bevonás és visszacsatolás</w:t>
      </w:r>
    </w:p>
    <w:p w14:paraId="7BF63807" w14:textId="77777777" w:rsidR="00593570" w:rsidRDefault="00032A4C">
      <w:pPr>
        <w:pStyle w:val="Infobox"/>
      </w:pPr>
      <w:r>
        <w:t xml:space="preserve">INFOBOX: Ez a fejezet mutassa be, hogy a felülvizsgálat nem zárt szakértői gyakorlat volt, hanem valódi érintetti bevonással zajlott. Dokumentálja, kiket vontak be, milyen módszerekkel, és hogyan épültek be a visszajelzések a megállapításokba és javaslatokba. A cél az átláthatóság, a legitimitás és annak bemutatása, hogy a jelentés nem pusztán adatokat, hanem partnerségi tanulást is tükröz. Különösen fontos annak igazolása, hogy a hallgatói és külső érintetti nézőpontok is érdemben megjelentek. </w:t>
      </w:r>
    </w:p>
    <w:p w14:paraId="5004A0B3" w14:textId="308BBD9F" w:rsidR="00DA0DBC" w:rsidRDefault="00032A4C">
      <w:pPr>
        <w:pStyle w:val="Infobox"/>
      </w:pPr>
      <w:r>
        <w:t>Kapcsolódó ESG: 1.1 Minőségbiztosítási politika, 1.2 A képzési programok kialakítása és jóváhagyása, 1.3 Hallgatóközpontú tanulás, tanítás és értékelés, 1.9 A képzési programok folyamatos figyelemmel kísérése és rendszeres értékelése.</w:t>
      </w:r>
    </w:p>
    <w:p w14:paraId="2779C98A" w14:textId="15DF3F4A" w:rsidR="00593570" w:rsidRDefault="00593570" w:rsidP="00593570">
      <w:r>
        <w:t>A fejezet bevezető szövege, ha releváns (annak rövid bemutatása, hogy minként csatornázták be az érintetti visszajelzéseket)</w:t>
      </w:r>
    </w:p>
    <w:p w14:paraId="374A7958" w14:textId="5013ED0C" w:rsidR="0092683F" w:rsidRPr="002B0721" w:rsidRDefault="0092683F" w:rsidP="0092683F">
      <w:pPr>
        <w:pStyle w:val="Heading2"/>
      </w:pPr>
      <w:r w:rsidRPr="002B0721">
        <w:t xml:space="preserve">Érintetti térkép </w:t>
      </w:r>
    </w:p>
    <w:p w14:paraId="66DB7A8C" w14:textId="77777777" w:rsidR="00593570" w:rsidRDefault="00032A4C">
      <w:pPr>
        <w:pStyle w:val="Infobox"/>
      </w:pPr>
      <w:r>
        <w:t xml:space="preserve">INFOBOX: Ebben az alfejezetben azonosítsa a felülvizsgálat szempontjából releváns belső és külső érintetteket. Jelezze, hogy az egyes csoportoknak milyen érdeke, nézőpontja és potenciális hozzájárulása van a program értékeléséhez és fejlesztéséhez. Érdemes kiemelni azokat a szereplőket is, akik a szokásos folyamatokban </w:t>
      </w:r>
      <w:proofErr w:type="spellStart"/>
      <w:r>
        <w:t>alulreprezentáltak</w:t>
      </w:r>
      <w:proofErr w:type="spellEnd"/>
      <w:r>
        <w:t xml:space="preserve">, mégis fontos információval rendelkeznek. A jól elkészített érintetti térkép segít arányos és célzott bevonási módszereket választani. </w:t>
      </w:r>
    </w:p>
    <w:p w14:paraId="3F1DF837" w14:textId="2FD05862" w:rsidR="00DA0DBC" w:rsidRDefault="00032A4C">
      <w:pPr>
        <w:pStyle w:val="Infobox"/>
      </w:pPr>
      <w:r>
        <w:t>Kapcsolódó ESG: 1.1 Minőségbiztosítási politika, 1.2 A képzési programok kialakítása és jóváhagyása, 1.9 A képzési programok folyamatos figyelemmel kísérése és rendszeres értékelése.</w:t>
      </w:r>
    </w:p>
    <w:p w14:paraId="7BC82840" w14:textId="77777777" w:rsidR="0092683F" w:rsidRPr="002B0721" w:rsidRDefault="0092683F" w:rsidP="0092683F">
      <w:r w:rsidRPr="002B0721">
        <w:t xml:space="preserve">(hallgatók, </w:t>
      </w:r>
      <w:proofErr w:type="spellStart"/>
      <w:r w:rsidRPr="002B0721">
        <w:t>alumni</w:t>
      </w:r>
      <w:proofErr w:type="spellEnd"/>
      <w:r w:rsidRPr="002B0721">
        <w:t xml:space="preserve">, munkaadók, oktatók, </w:t>
      </w:r>
      <w:proofErr w:type="spellStart"/>
      <w:r w:rsidRPr="002B0721">
        <w:t>admin</w:t>
      </w:r>
      <w:proofErr w:type="spellEnd"/>
      <w:r w:rsidRPr="002B0721">
        <w:t>, nemzetközi partnerek)</w:t>
      </w:r>
    </w:p>
    <w:p w14:paraId="67763289" w14:textId="103A25AC" w:rsidR="00987088" w:rsidRPr="00950C7C" w:rsidRDefault="00987088" w:rsidP="00987088">
      <w:pPr>
        <w:rPr>
          <w:i/>
          <w:color w:val="005A9C"/>
        </w:rPr>
      </w:pPr>
      <w:r w:rsidRPr="00950C7C">
        <w:rPr>
          <w:b/>
          <w:bCs/>
          <w:i/>
          <w:color w:val="005A9C"/>
        </w:rPr>
        <w:t>Aktív hallgatók</w:t>
      </w:r>
      <w:r w:rsidRPr="00950C7C">
        <w:rPr>
          <w:i/>
          <w:color w:val="005A9C"/>
        </w:rPr>
        <w:t xml:space="preserve"> (belső, közvetlen): A program jelenlegi minőségének elsődleges tapasztalói</w:t>
      </w:r>
      <w:r w:rsidR="007906A7">
        <w:rPr>
          <w:i/>
          <w:color w:val="005A9C"/>
        </w:rPr>
        <w:t>,</w:t>
      </w:r>
      <w:r w:rsidRPr="00950C7C">
        <w:rPr>
          <w:i/>
          <w:color w:val="005A9C"/>
        </w:rPr>
        <w:t xml:space="preserve"> nézőpontjuk a tantervi koherenciára, a terhelés arányosságára és a szoftverkörnyezet korszerűségére vonatkozóan meghatározó. Bevonásuk forrása a nagymintás hallgatói felmérés, </w:t>
      </w:r>
      <w:proofErr w:type="spellStart"/>
      <w:r w:rsidRPr="00950C7C">
        <w:rPr>
          <w:i/>
          <w:color w:val="005A9C"/>
        </w:rPr>
        <w:t>BSc</w:t>
      </w:r>
      <w:proofErr w:type="spellEnd"/>
      <w:r w:rsidRPr="00950C7C">
        <w:rPr>
          <w:i/>
          <w:color w:val="005A9C"/>
        </w:rPr>
        <w:t xml:space="preserve"> és osztatlan képzés esetében a </w:t>
      </w:r>
      <w:proofErr w:type="spellStart"/>
      <w:r w:rsidRPr="00950C7C">
        <w:rPr>
          <w:i/>
          <w:color w:val="005A9C"/>
        </w:rPr>
        <w:t>gólyakérdőív</w:t>
      </w:r>
      <w:proofErr w:type="spellEnd"/>
      <w:r w:rsidRPr="00950C7C">
        <w:rPr>
          <w:i/>
          <w:color w:val="005A9C"/>
        </w:rPr>
        <w:t>, O</w:t>
      </w:r>
      <w:r w:rsidR="00EB5906">
        <w:rPr>
          <w:i/>
          <w:color w:val="005A9C"/>
        </w:rPr>
        <w:t>M</w:t>
      </w:r>
      <w:r w:rsidRPr="00950C7C">
        <w:rPr>
          <w:i/>
          <w:color w:val="005A9C"/>
        </w:rPr>
        <w:t>HV eredmények</w:t>
      </w:r>
      <w:r w:rsidR="00950C7C">
        <w:rPr>
          <w:i/>
          <w:color w:val="005A9C"/>
        </w:rPr>
        <w:t xml:space="preserve"> és </w:t>
      </w:r>
      <w:r w:rsidR="00B064BC">
        <w:rPr>
          <w:i/>
          <w:color w:val="005A9C"/>
        </w:rPr>
        <w:t>harmadik</w:t>
      </w:r>
      <w:r w:rsidR="00950C7C">
        <w:rPr>
          <w:i/>
          <w:color w:val="005A9C"/>
        </w:rPr>
        <w:t xml:space="preserve"> fél által készített kimutatások</w:t>
      </w:r>
      <w:r w:rsidRPr="00950C7C">
        <w:rPr>
          <w:i/>
          <w:color w:val="005A9C"/>
        </w:rPr>
        <w:t>.</w:t>
      </w:r>
    </w:p>
    <w:p w14:paraId="3C7D93C7" w14:textId="0332F022" w:rsidR="00987088" w:rsidRDefault="00987088" w:rsidP="00987088">
      <w:pPr>
        <w:rPr>
          <w:i/>
          <w:color w:val="005A9C"/>
        </w:rPr>
      </w:pPr>
      <w:proofErr w:type="spellStart"/>
      <w:r w:rsidRPr="00987088">
        <w:rPr>
          <w:b/>
          <w:bCs/>
          <w:i/>
          <w:color w:val="005A9C"/>
        </w:rPr>
        <w:t>Alumni</w:t>
      </w:r>
      <w:proofErr w:type="spellEnd"/>
      <w:r w:rsidRPr="00987088">
        <w:rPr>
          <w:i/>
          <w:color w:val="005A9C"/>
        </w:rPr>
        <w:t xml:space="preserve"> (belső/külső, közvetlen): Már munkaerőpiaci tapasztalattal rendelkeznek, így vissza tudnak jelezni arról, hogy a képzés tartalma mennyire volt alkalmazható a gyakorlatban. Bevonásuk forrása </w:t>
      </w:r>
      <w:r w:rsidRPr="00950C7C">
        <w:rPr>
          <w:i/>
          <w:color w:val="005A9C"/>
        </w:rPr>
        <w:t>a nagymintás hallgatói felmérés</w:t>
      </w:r>
      <w:r w:rsidRPr="00987088">
        <w:rPr>
          <w:i/>
          <w:color w:val="005A9C"/>
        </w:rPr>
        <w:t xml:space="preserve"> </w:t>
      </w:r>
      <w:proofErr w:type="spellStart"/>
      <w:r w:rsidRPr="00987088">
        <w:rPr>
          <w:i/>
          <w:color w:val="005A9C"/>
        </w:rPr>
        <w:t>alumni</w:t>
      </w:r>
      <w:proofErr w:type="spellEnd"/>
      <w:r w:rsidRPr="00987088">
        <w:rPr>
          <w:i/>
          <w:color w:val="005A9C"/>
        </w:rPr>
        <w:t xml:space="preserve"> </w:t>
      </w:r>
      <w:r w:rsidRPr="00950C7C">
        <w:rPr>
          <w:i/>
          <w:color w:val="005A9C"/>
        </w:rPr>
        <w:t>válaszai</w:t>
      </w:r>
      <w:r w:rsidR="00950C7C">
        <w:rPr>
          <w:i/>
          <w:color w:val="005A9C"/>
        </w:rPr>
        <w:t xml:space="preserve">, </w:t>
      </w:r>
      <w:r w:rsidRPr="00987088">
        <w:rPr>
          <w:i/>
          <w:color w:val="005A9C"/>
        </w:rPr>
        <w:t>a DPR elemzés</w:t>
      </w:r>
      <w:r w:rsidR="00950C7C">
        <w:rPr>
          <w:i/>
          <w:color w:val="005A9C"/>
        </w:rPr>
        <w:t xml:space="preserve"> és 3. fél által készített kimutatások</w:t>
      </w:r>
      <w:r w:rsidRPr="00987088">
        <w:rPr>
          <w:i/>
          <w:color w:val="005A9C"/>
        </w:rPr>
        <w:t>.</w:t>
      </w:r>
    </w:p>
    <w:p w14:paraId="68CAC5E8" w14:textId="21C3EC16" w:rsidR="00DC3063" w:rsidRPr="00B064BC" w:rsidRDefault="00DC3063" w:rsidP="00987088">
      <w:pPr>
        <w:rPr>
          <w:i/>
          <w:color w:val="005A9C"/>
        </w:rPr>
      </w:pPr>
      <w:r w:rsidRPr="00B064BC">
        <w:rPr>
          <w:b/>
          <w:bCs/>
          <w:i/>
          <w:color w:val="005A9C"/>
        </w:rPr>
        <w:t xml:space="preserve">Oktatók </w:t>
      </w:r>
      <w:r w:rsidRPr="00B064BC">
        <w:rPr>
          <w:i/>
          <w:color w:val="005A9C"/>
        </w:rPr>
        <w:t>(belső, közvetlen): A tantervi döntések és a tantárgyi tartalom gazdái</w:t>
      </w:r>
      <w:r w:rsidR="00717892">
        <w:rPr>
          <w:i/>
          <w:color w:val="005A9C"/>
        </w:rPr>
        <w:t>,</w:t>
      </w:r>
      <w:r w:rsidRPr="00B064BC">
        <w:rPr>
          <w:i/>
          <w:color w:val="005A9C"/>
        </w:rPr>
        <w:t xml:space="preserve"> nézőpontjuk alapján lehetséges elérni egy, a tananyag szintjén koherens képzési programot. Véleményük főként belső konzultációkon, fókuszcsoportos egyeztetéseken keresztül csatornázható be, elégedettségük kérdőíves felmérés alapján megismerhető.</w:t>
      </w:r>
    </w:p>
    <w:p w14:paraId="389B033F" w14:textId="1FBC9663" w:rsidR="00987088" w:rsidRPr="00987088" w:rsidRDefault="00987088" w:rsidP="00987088">
      <w:pPr>
        <w:rPr>
          <w:i/>
          <w:color w:val="005A9C"/>
        </w:rPr>
      </w:pPr>
      <w:r w:rsidRPr="00987088">
        <w:rPr>
          <w:b/>
          <w:bCs/>
          <w:i/>
          <w:color w:val="005A9C"/>
        </w:rPr>
        <w:t>Munk</w:t>
      </w:r>
      <w:r w:rsidR="006C3934">
        <w:rPr>
          <w:b/>
          <w:bCs/>
          <w:i/>
          <w:color w:val="005A9C"/>
        </w:rPr>
        <w:t>áltatók</w:t>
      </w:r>
      <w:r w:rsidRPr="00987088">
        <w:rPr>
          <w:i/>
          <w:color w:val="005A9C"/>
        </w:rPr>
        <w:t xml:space="preserve"> (külső, stratégiai): A</w:t>
      </w:r>
      <w:r w:rsidR="006C3934">
        <w:rPr>
          <w:i/>
          <w:color w:val="005A9C"/>
        </w:rPr>
        <w:t xml:space="preserve">z adott területet </w:t>
      </w:r>
      <w:r w:rsidRPr="00987088">
        <w:rPr>
          <w:i/>
          <w:color w:val="005A9C"/>
        </w:rPr>
        <w:t>képviselő vállalatok és kutatóintézetek jelzik, milyen kompetenciák hiányoznak vagy feleslegesek a friss diplomások tudásában.</w:t>
      </w:r>
      <w:r w:rsidR="00950C7C">
        <w:rPr>
          <w:i/>
          <w:color w:val="005A9C"/>
        </w:rPr>
        <w:t xml:space="preserve"> B</w:t>
      </w:r>
      <w:r w:rsidRPr="00987088">
        <w:rPr>
          <w:i/>
          <w:color w:val="005A9C"/>
        </w:rPr>
        <w:t xml:space="preserve">evonásuk </w:t>
      </w:r>
      <w:r w:rsidR="006C3934">
        <w:rPr>
          <w:i/>
          <w:color w:val="005A9C"/>
        </w:rPr>
        <w:t xml:space="preserve">forrása lehet </w:t>
      </w:r>
      <w:r w:rsidRPr="00987088">
        <w:rPr>
          <w:i/>
          <w:color w:val="005A9C"/>
        </w:rPr>
        <w:t>célzott munkaadói kérdőív</w:t>
      </w:r>
      <w:r w:rsidR="00950C7C">
        <w:rPr>
          <w:i/>
          <w:color w:val="005A9C"/>
        </w:rPr>
        <w:t xml:space="preserve">, </w:t>
      </w:r>
      <w:r w:rsidRPr="00987088">
        <w:rPr>
          <w:i/>
          <w:color w:val="005A9C"/>
        </w:rPr>
        <w:t>fókuszcsoport</w:t>
      </w:r>
      <w:r w:rsidR="006C3934">
        <w:rPr>
          <w:i/>
          <w:color w:val="005A9C"/>
        </w:rPr>
        <w:t xml:space="preserve">os beszélgetés </w:t>
      </w:r>
      <w:r w:rsidR="00950C7C">
        <w:rPr>
          <w:i/>
          <w:color w:val="005A9C"/>
        </w:rPr>
        <w:t>és 3. fél által készített kimutatások</w:t>
      </w:r>
      <w:r w:rsidRPr="00987088">
        <w:rPr>
          <w:i/>
          <w:color w:val="005A9C"/>
        </w:rPr>
        <w:t>.</w:t>
      </w:r>
    </w:p>
    <w:p w14:paraId="17365BE1" w14:textId="77777777" w:rsidR="0092683F" w:rsidRPr="002B0721" w:rsidRDefault="0092683F" w:rsidP="0092683F">
      <w:pPr>
        <w:pStyle w:val="Heading2"/>
      </w:pPr>
      <w:r w:rsidRPr="002B0721">
        <w:t>Bevont szereplők és módszerek</w:t>
      </w:r>
    </w:p>
    <w:p w14:paraId="4DBE8DA8" w14:textId="77777777" w:rsidR="00593570" w:rsidRDefault="00032A4C">
      <w:pPr>
        <w:pStyle w:val="Infobox"/>
      </w:pPr>
      <w:r>
        <w:t xml:space="preserve">INFOBOX: Itt táblázatosan vagy rövid strukturált formában mutassa be, hogy mely érintetti csoportokat milyen eszközökkel kérdezték meg. Fontos rögzíteni az időpontot, a részvételi arányt, a fő témákat és a legfontosabb üzeneteket is, hogy látható legyen az inputok súlya és minősége. Célszerű elkülöníteni a kérdőíves, interjús és fókuszcsoportos eredetű visszajelzéseket, mert eltérő értelmezést igényelnek. Ez a rész a felülvizsgálat módszertani átláthatóságát és hitelességét erősíti. </w:t>
      </w:r>
    </w:p>
    <w:p w14:paraId="1B6F7618" w14:textId="0CF929A0" w:rsidR="00DA0DBC" w:rsidRDefault="00032A4C">
      <w:pPr>
        <w:pStyle w:val="Infobox"/>
      </w:pPr>
      <w:r>
        <w:t>Kapcsolódó ESG: 1.3 Hallgatóközpontú tanulás, tanítás és értékelés, 1.7 Információkezelés, 1.9 A képzési programok folyamatos figyelemmel kísérése és rendszeres értékelése.</w:t>
      </w:r>
    </w:p>
    <w:tbl>
      <w:tblPr>
        <w:tblStyle w:val="GridTable4-Accent1"/>
        <w:tblW w:w="0" w:type="auto"/>
        <w:tblLayout w:type="fixed"/>
        <w:tblLook w:val="04A0" w:firstRow="1" w:lastRow="0" w:firstColumn="1" w:lastColumn="0" w:noHBand="0" w:noVBand="1"/>
      </w:tblPr>
      <w:tblGrid>
        <w:gridCol w:w="1255"/>
        <w:gridCol w:w="1620"/>
        <w:gridCol w:w="900"/>
        <w:gridCol w:w="990"/>
        <w:gridCol w:w="2250"/>
        <w:gridCol w:w="2047"/>
      </w:tblGrid>
      <w:tr w:rsidR="00950C7C" w:rsidRPr="007D2E53" w14:paraId="4AF0E604" w14:textId="77777777" w:rsidTr="00950C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5" w:type="dxa"/>
          </w:tcPr>
          <w:p w14:paraId="1E1248C5" w14:textId="77777777" w:rsidR="0092683F" w:rsidRPr="007D2E53" w:rsidRDefault="0092683F" w:rsidP="0092683F">
            <w:pPr>
              <w:jc w:val="center"/>
              <w:rPr>
                <w:sz w:val="18"/>
                <w:szCs w:val="18"/>
              </w:rPr>
            </w:pPr>
            <w:r w:rsidRPr="007D2E53">
              <w:rPr>
                <w:sz w:val="18"/>
                <w:szCs w:val="18"/>
              </w:rPr>
              <w:t>Érintett</w:t>
            </w:r>
          </w:p>
        </w:tc>
        <w:tc>
          <w:tcPr>
            <w:tcW w:w="1620" w:type="dxa"/>
          </w:tcPr>
          <w:p w14:paraId="3E7E5D12" w14:textId="77777777" w:rsidR="0092683F" w:rsidRPr="007D2E53" w:rsidRDefault="0092683F" w:rsidP="0092683F">
            <w:pPr>
              <w:jc w:val="center"/>
              <w:cnfStyle w:val="100000000000" w:firstRow="1" w:lastRow="0" w:firstColumn="0" w:lastColumn="0" w:oddVBand="0" w:evenVBand="0" w:oddHBand="0" w:evenHBand="0" w:firstRowFirstColumn="0" w:firstRowLastColumn="0" w:lastRowFirstColumn="0" w:lastRowLastColumn="0"/>
              <w:rPr>
                <w:sz w:val="18"/>
                <w:szCs w:val="18"/>
              </w:rPr>
            </w:pPr>
            <w:r w:rsidRPr="007D2E53">
              <w:rPr>
                <w:sz w:val="18"/>
                <w:szCs w:val="18"/>
              </w:rPr>
              <w:t>Módszer (felmérés / interjú / fókuszcsoport)</w:t>
            </w:r>
          </w:p>
        </w:tc>
        <w:tc>
          <w:tcPr>
            <w:tcW w:w="900" w:type="dxa"/>
          </w:tcPr>
          <w:p w14:paraId="10C55B87" w14:textId="77777777" w:rsidR="0092683F" w:rsidRPr="007D2E53" w:rsidRDefault="0092683F" w:rsidP="0092683F">
            <w:pPr>
              <w:jc w:val="center"/>
              <w:cnfStyle w:val="100000000000" w:firstRow="1" w:lastRow="0" w:firstColumn="0" w:lastColumn="0" w:oddVBand="0" w:evenVBand="0" w:oddHBand="0" w:evenHBand="0" w:firstRowFirstColumn="0" w:firstRowLastColumn="0" w:lastRowFirstColumn="0" w:lastRowLastColumn="0"/>
              <w:rPr>
                <w:sz w:val="18"/>
                <w:szCs w:val="18"/>
              </w:rPr>
            </w:pPr>
            <w:r w:rsidRPr="007D2E53">
              <w:rPr>
                <w:sz w:val="18"/>
                <w:szCs w:val="18"/>
              </w:rPr>
              <w:t>Időpont</w:t>
            </w:r>
          </w:p>
        </w:tc>
        <w:tc>
          <w:tcPr>
            <w:tcW w:w="990" w:type="dxa"/>
          </w:tcPr>
          <w:p w14:paraId="7E54F14D" w14:textId="77777777" w:rsidR="0092683F" w:rsidRPr="007D2E53" w:rsidRDefault="0092683F" w:rsidP="0092683F">
            <w:pPr>
              <w:jc w:val="center"/>
              <w:cnfStyle w:val="100000000000" w:firstRow="1" w:lastRow="0" w:firstColumn="0" w:lastColumn="0" w:oddVBand="0" w:evenVBand="0" w:oddHBand="0" w:evenHBand="0" w:firstRowFirstColumn="0" w:firstRowLastColumn="0" w:lastRowFirstColumn="0" w:lastRowLastColumn="0"/>
              <w:rPr>
                <w:sz w:val="18"/>
                <w:szCs w:val="18"/>
              </w:rPr>
            </w:pPr>
            <w:r w:rsidRPr="007D2E53">
              <w:rPr>
                <w:sz w:val="18"/>
                <w:szCs w:val="18"/>
              </w:rPr>
              <w:t>Részvétel</w:t>
            </w:r>
          </w:p>
        </w:tc>
        <w:tc>
          <w:tcPr>
            <w:tcW w:w="2250" w:type="dxa"/>
          </w:tcPr>
          <w:p w14:paraId="1BBA1E12" w14:textId="77777777" w:rsidR="0092683F" w:rsidRPr="007D2E53" w:rsidRDefault="0092683F" w:rsidP="0092683F">
            <w:pPr>
              <w:jc w:val="center"/>
              <w:cnfStyle w:val="100000000000" w:firstRow="1" w:lastRow="0" w:firstColumn="0" w:lastColumn="0" w:oddVBand="0" w:evenVBand="0" w:oddHBand="0" w:evenHBand="0" w:firstRowFirstColumn="0" w:firstRowLastColumn="0" w:lastRowFirstColumn="0" w:lastRowLastColumn="0"/>
              <w:rPr>
                <w:sz w:val="18"/>
                <w:szCs w:val="18"/>
              </w:rPr>
            </w:pPr>
            <w:r w:rsidRPr="007D2E53">
              <w:rPr>
                <w:sz w:val="18"/>
                <w:szCs w:val="18"/>
              </w:rPr>
              <w:t>Fő témák</w:t>
            </w:r>
          </w:p>
        </w:tc>
        <w:tc>
          <w:tcPr>
            <w:tcW w:w="2047" w:type="dxa"/>
          </w:tcPr>
          <w:p w14:paraId="4E205F32" w14:textId="77777777" w:rsidR="0092683F" w:rsidRPr="007D2E53" w:rsidRDefault="0092683F" w:rsidP="0092683F">
            <w:pPr>
              <w:jc w:val="center"/>
              <w:cnfStyle w:val="100000000000" w:firstRow="1" w:lastRow="0" w:firstColumn="0" w:lastColumn="0" w:oddVBand="0" w:evenVBand="0" w:oddHBand="0" w:evenHBand="0" w:firstRowFirstColumn="0" w:firstRowLastColumn="0" w:lastRowFirstColumn="0" w:lastRowLastColumn="0"/>
              <w:rPr>
                <w:sz w:val="18"/>
                <w:szCs w:val="18"/>
              </w:rPr>
            </w:pPr>
            <w:r w:rsidRPr="007D2E53">
              <w:rPr>
                <w:sz w:val="18"/>
                <w:szCs w:val="18"/>
              </w:rPr>
              <w:t>Kulcs-üzenetek</w:t>
            </w:r>
          </w:p>
        </w:tc>
      </w:tr>
      <w:tr w:rsidR="00F754D3" w:rsidRPr="007D2E53" w14:paraId="16CA9F0F" w14:textId="77777777" w:rsidTr="0095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16B51407" w14:textId="6561D655" w:rsidR="000163F0" w:rsidRPr="009A6CFE" w:rsidRDefault="000163F0" w:rsidP="000163F0">
            <w:pPr>
              <w:rPr>
                <w:sz w:val="18"/>
                <w:szCs w:val="18"/>
              </w:rPr>
            </w:pPr>
            <w:r w:rsidRPr="009A6CFE">
              <w:rPr>
                <w:sz w:val="18"/>
                <w:szCs w:val="18"/>
              </w:rPr>
              <w:t>Aktív hallgatók</w:t>
            </w:r>
          </w:p>
        </w:tc>
        <w:tc>
          <w:tcPr>
            <w:tcW w:w="1620" w:type="dxa"/>
          </w:tcPr>
          <w:p w14:paraId="3BCE0B96" w14:textId="439FEDCD" w:rsidR="000163F0" w:rsidRPr="009A6CFE" w:rsidRDefault="000163F0" w:rsidP="000163F0">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Kérdőíves felmérés (nagymintás hallgatói kérdőív)</w:t>
            </w:r>
          </w:p>
        </w:tc>
        <w:tc>
          <w:tcPr>
            <w:tcW w:w="900" w:type="dxa"/>
          </w:tcPr>
          <w:p w14:paraId="6A9F586D" w14:textId="7064DF3F" w:rsidR="000163F0" w:rsidRPr="009A6CFE" w:rsidRDefault="000163F0" w:rsidP="000163F0">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2026</w:t>
            </w:r>
          </w:p>
        </w:tc>
        <w:tc>
          <w:tcPr>
            <w:tcW w:w="990" w:type="dxa"/>
          </w:tcPr>
          <w:p w14:paraId="7E102CC1" w14:textId="040CA93B" w:rsidR="000163F0" w:rsidRPr="009A6CFE" w:rsidRDefault="000163F0" w:rsidP="000163F0">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3133 fő (~25% válaszadási arány)</w:t>
            </w:r>
          </w:p>
        </w:tc>
        <w:tc>
          <w:tcPr>
            <w:tcW w:w="2250" w:type="dxa"/>
          </w:tcPr>
          <w:p w14:paraId="4D91DC2D" w14:textId="0DB6FD7C" w:rsidR="000163F0" w:rsidRPr="009A6CFE" w:rsidRDefault="000163F0" w:rsidP="000163F0">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Szempontok fontossági sorrendje a szak megítéléséhez; heti kontaktóraszám megítélése; képzés gyakorlatorientáltságának megítélése; tananyag-ismétlés mértéke (</w:t>
            </w:r>
            <w:proofErr w:type="spellStart"/>
            <w:r w:rsidRPr="009A6CFE">
              <w:rPr>
                <w:sz w:val="18"/>
                <w:szCs w:val="18"/>
              </w:rPr>
              <w:t>BSc</w:t>
            </w:r>
            <w:proofErr w:type="spellEnd"/>
            <w:r w:rsidRPr="009A6CFE">
              <w:rPr>
                <w:sz w:val="18"/>
                <w:szCs w:val="18"/>
              </w:rPr>
              <w:t>/</w:t>
            </w:r>
            <w:proofErr w:type="spellStart"/>
            <w:r w:rsidRPr="009A6CFE">
              <w:rPr>
                <w:sz w:val="18"/>
                <w:szCs w:val="18"/>
              </w:rPr>
              <w:t>MSc</w:t>
            </w:r>
            <w:proofErr w:type="spellEnd"/>
            <w:r w:rsidRPr="009A6CFE">
              <w:rPr>
                <w:sz w:val="18"/>
                <w:szCs w:val="18"/>
              </w:rPr>
              <w:t xml:space="preserve"> szinten); fejlesztendő kompetenciák és készségigények; képzés felépítése (előfeltételi rend, rugalmasság, elmélet-gyakorlat arány, teljesítményértékelés); jelenléti és önálló tanulás aránya; képzés korszerűségének megítélése; munkaerőpiaci készségekre való felkészítés; preferált tanítási és értékelési módszerek; NPS (ajánlási hajlandóság); szabad szöveges vélemény</w:t>
            </w:r>
          </w:p>
        </w:tc>
        <w:tc>
          <w:tcPr>
            <w:tcW w:w="2047" w:type="dxa"/>
          </w:tcPr>
          <w:p w14:paraId="6FB8921F" w14:textId="227B30D7" w:rsidR="000163F0" w:rsidRPr="009A6CFE" w:rsidRDefault="000163F0" w:rsidP="000163F0">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Tananyag korszerűsége, heti terhelés, kontaktóraszám, tananyag-ismétlés, előfeltételi rend, elmélet-gyakorlat egyensúly, teljesítményértékelési módszerek, hiányolt készségek és kompetenciák, oktatási módszer-preferenciák és általános elégedettség (NPS) kerültek felmérésre; a szabad szöveges válaszok szakspecifikus problémák azonosítását teszik lehetővé.</w:t>
            </w:r>
          </w:p>
        </w:tc>
      </w:tr>
      <w:tr w:rsidR="00950C7C" w:rsidRPr="007D2E53" w14:paraId="6981840A" w14:textId="77777777" w:rsidTr="00950C7C">
        <w:tc>
          <w:tcPr>
            <w:cnfStyle w:val="001000000000" w:firstRow="0" w:lastRow="0" w:firstColumn="1" w:lastColumn="0" w:oddVBand="0" w:evenVBand="0" w:oddHBand="0" w:evenHBand="0" w:firstRowFirstColumn="0" w:firstRowLastColumn="0" w:lastRowFirstColumn="0" w:lastRowLastColumn="0"/>
            <w:tcW w:w="1255" w:type="dxa"/>
          </w:tcPr>
          <w:p w14:paraId="7644B639" w14:textId="2D7896F6" w:rsidR="007D2E53" w:rsidRPr="009A6CFE" w:rsidRDefault="007D2E53" w:rsidP="007D2E53">
            <w:pPr>
              <w:rPr>
                <w:sz w:val="18"/>
                <w:szCs w:val="18"/>
              </w:rPr>
            </w:pPr>
            <w:r w:rsidRPr="009A6CFE">
              <w:rPr>
                <w:rStyle w:val="HTMLCode"/>
                <w:rFonts w:ascii="Palatino Linotype" w:eastAsiaTheme="majorEastAsia" w:hAnsi="Palatino Linotype"/>
                <w:sz w:val="18"/>
                <w:szCs w:val="18"/>
              </w:rPr>
              <w:t>Elsőéves hallgatók</w:t>
            </w:r>
          </w:p>
        </w:tc>
        <w:tc>
          <w:tcPr>
            <w:tcW w:w="1620" w:type="dxa"/>
          </w:tcPr>
          <w:p w14:paraId="450F9641" w14:textId="00AE6360" w:rsidR="007D2E53" w:rsidRPr="009A6CFE" w:rsidRDefault="007D2E53" w:rsidP="007D2E53">
            <w:pPr>
              <w:cnfStyle w:val="000000000000" w:firstRow="0" w:lastRow="0" w:firstColumn="0" w:lastColumn="0" w:oddVBand="0" w:evenVBand="0" w:oddHBand="0"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Kérdőíves felmérés (</w:t>
            </w:r>
            <w:proofErr w:type="spellStart"/>
            <w:r w:rsidRPr="009A6CFE">
              <w:rPr>
                <w:rStyle w:val="HTMLCode"/>
                <w:rFonts w:ascii="Palatino Linotype" w:eastAsiaTheme="majorEastAsia" w:hAnsi="Palatino Linotype"/>
                <w:sz w:val="18"/>
                <w:szCs w:val="18"/>
              </w:rPr>
              <w:t>Gólyakérdőív</w:t>
            </w:r>
            <w:proofErr w:type="spellEnd"/>
            <w:r w:rsidRPr="009A6CFE">
              <w:rPr>
                <w:rStyle w:val="HTMLCode"/>
                <w:rFonts w:ascii="Palatino Linotype" w:eastAsiaTheme="majorEastAsia" w:hAnsi="Palatino Linotype"/>
                <w:sz w:val="18"/>
                <w:szCs w:val="18"/>
              </w:rPr>
              <w:t>)</w:t>
            </w:r>
          </w:p>
        </w:tc>
        <w:tc>
          <w:tcPr>
            <w:tcW w:w="900" w:type="dxa"/>
          </w:tcPr>
          <w:p w14:paraId="020404AC" w14:textId="7C483705" w:rsidR="007D2E53" w:rsidRPr="009A6CFE" w:rsidRDefault="007D2E53" w:rsidP="007D2E53">
            <w:pPr>
              <w:cnfStyle w:val="000000000000" w:firstRow="0" w:lastRow="0" w:firstColumn="0" w:lastColumn="0" w:oddVBand="0" w:evenVBand="0" w:oddHBand="0"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2024 és 2025</w:t>
            </w:r>
          </w:p>
        </w:tc>
        <w:tc>
          <w:tcPr>
            <w:tcW w:w="990" w:type="dxa"/>
          </w:tcPr>
          <w:p w14:paraId="42EF66E9" w14:textId="1D8F7C90" w:rsidR="007D2E53" w:rsidRPr="009A6CFE" w:rsidRDefault="007D2E53" w:rsidP="007D2E53">
            <w:pPr>
              <w:cnfStyle w:val="000000000000" w:firstRow="0" w:lastRow="0" w:firstColumn="0" w:lastColumn="0" w:oddVBand="0" w:evenVBand="0" w:oddHBand="0" w:evenHBand="0" w:firstRowFirstColumn="0" w:firstRowLastColumn="0" w:lastRowFirstColumn="0" w:lastRowLastColumn="0"/>
              <w:rPr>
                <w:rStyle w:val="HTMLCode"/>
                <w:rFonts w:ascii="Palatino Linotype" w:eastAsiaTheme="majorEastAsia" w:hAnsi="Palatino Linotype"/>
                <w:sz w:val="18"/>
                <w:szCs w:val="18"/>
              </w:rPr>
            </w:pPr>
            <w:r w:rsidRPr="009A6CFE">
              <w:rPr>
                <w:rStyle w:val="HTMLCode"/>
                <w:rFonts w:ascii="Palatino Linotype" w:eastAsiaTheme="majorEastAsia" w:hAnsi="Palatino Linotype"/>
                <w:sz w:val="18"/>
                <w:szCs w:val="18"/>
              </w:rPr>
              <w:t>1598 fő (évfolyam ~45%-a)</w:t>
            </w:r>
          </w:p>
          <w:p w14:paraId="45E0F7B9" w14:textId="77777777" w:rsidR="007D2E53" w:rsidRPr="009A6CFE" w:rsidRDefault="007D2E53" w:rsidP="007D2E53">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és</w:t>
            </w:r>
          </w:p>
          <w:p w14:paraId="6F33F1C7" w14:textId="58C47EF5" w:rsidR="007D2E53" w:rsidRPr="009A6CFE" w:rsidRDefault="007D2E53" w:rsidP="007D2E53">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2940 fő (évfolyam ~85%-a)</w:t>
            </w:r>
          </w:p>
        </w:tc>
        <w:tc>
          <w:tcPr>
            <w:tcW w:w="2250" w:type="dxa"/>
          </w:tcPr>
          <w:p w14:paraId="36CF6172" w14:textId="28C88964" w:rsidR="007D2E53" w:rsidRPr="009A6CFE" w:rsidRDefault="007D2E53" w:rsidP="007D2E53">
            <w:pPr>
              <w:cnfStyle w:val="000000000000" w:firstRow="0" w:lastRow="0" w:firstColumn="0" w:lastColumn="0" w:oddVBand="0" w:evenVBand="0" w:oddHBand="0"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 xml:space="preserve">Intézményválasztás motivációi és versenytárs-intézmények; szakválasztás motivációi; felvételi tájékoztatás forrásai és minősége; felvételi rendszer változásainak megítélése; BME-hez kapcsolódó spontán asszociációk (pozitív, semleges, negatív); oktatással szembeni elvárások (elméleti-gyakorlati arány, tanítási módszer-preferenciák); hallgatói szolgáltatás-igények; tanulmányokkal párhuzamos tervek (munka, mobilitás, kutatás); elhelyezkedési tervek és munkakeresési szempontok; </w:t>
            </w:r>
            <w:proofErr w:type="spellStart"/>
            <w:r w:rsidRPr="009A6CFE">
              <w:rPr>
                <w:rStyle w:val="HTMLCode"/>
                <w:rFonts w:ascii="Palatino Linotype" w:eastAsiaTheme="majorEastAsia" w:hAnsi="Palatino Linotype"/>
                <w:sz w:val="18"/>
                <w:szCs w:val="18"/>
              </w:rPr>
              <w:t>gólyatábor</w:t>
            </w:r>
            <w:proofErr w:type="spellEnd"/>
            <w:r w:rsidRPr="009A6CFE">
              <w:rPr>
                <w:rStyle w:val="HTMLCode"/>
                <w:rFonts w:ascii="Palatino Linotype" w:eastAsiaTheme="majorEastAsia" w:hAnsi="Palatino Linotype"/>
                <w:sz w:val="18"/>
                <w:szCs w:val="18"/>
              </w:rPr>
              <w:t xml:space="preserve"> részvétel és elégedettség; </w:t>
            </w:r>
            <w:proofErr w:type="spellStart"/>
            <w:r w:rsidRPr="009A6CFE">
              <w:rPr>
                <w:rStyle w:val="HTMLCode"/>
                <w:rFonts w:ascii="Palatino Linotype" w:eastAsiaTheme="majorEastAsia" w:hAnsi="Palatino Linotype"/>
                <w:sz w:val="18"/>
                <w:szCs w:val="18"/>
              </w:rPr>
              <w:t>szociodemográfiai</w:t>
            </w:r>
            <w:proofErr w:type="spellEnd"/>
            <w:r w:rsidRPr="009A6CFE">
              <w:rPr>
                <w:rStyle w:val="HTMLCode"/>
                <w:rFonts w:ascii="Palatino Linotype" w:eastAsiaTheme="majorEastAsia" w:hAnsi="Palatino Linotype"/>
                <w:sz w:val="18"/>
                <w:szCs w:val="18"/>
              </w:rPr>
              <w:t xml:space="preserve"> háttér (nem, lakóhely, középiskola típusa, bejárási idő)</w:t>
            </w:r>
          </w:p>
        </w:tc>
        <w:tc>
          <w:tcPr>
            <w:tcW w:w="2047" w:type="dxa"/>
          </w:tcPr>
          <w:p w14:paraId="4CDA3073" w14:textId="5DD4C614" w:rsidR="007D2E53" w:rsidRPr="009A6CFE" w:rsidRDefault="007D2E53" w:rsidP="007D2E53">
            <w:pPr>
              <w:cnfStyle w:val="000000000000" w:firstRow="0" w:lastRow="0" w:firstColumn="0" w:lastColumn="0" w:oddVBand="0" w:evenVBand="0" w:oddHBand="0"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 xml:space="preserve">A BME-re való felvétel motivációi, a szakválasztás szempontjai, a felvételi tájékoztatás csatornáinak hatékonysága, az új felvételi pontrendszer megítélése, az oktatással szembeni hallgatói elvárások, a preferált tanulási módszerek, az igényelt hallgatói szolgáltatások, a tervezett tanulmányi és karrierutak, valamint a </w:t>
            </w:r>
            <w:proofErr w:type="spellStart"/>
            <w:r w:rsidRPr="009A6CFE">
              <w:rPr>
                <w:rStyle w:val="HTMLCode"/>
                <w:rFonts w:ascii="Palatino Linotype" w:eastAsiaTheme="majorEastAsia" w:hAnsi="Palatino Linotype"/>
                <w:sz w:val="18"/>
                <w:szCs w:val="18"/>
              </w:rPr>
              <w:t>gólyatábor</w:t>
            </w:r>
            <w:proofErr w:type="spellEnd"/>
            <w:r w:rsidRPr="009A6CFE">
              <w:rPr>
                <w:rStyle w:val="HTMLCode"/>
                <w:rFonts w:ascii="Palatino Linotype" w:eastAsiaTheme="majorEastAsia" w:hAnsi="Palatino Linotype"/>
                <w:sz w:val="18"/>
                <w:szCs w:val="18"/>
              </w:rPr>
              <w:t xml:space="preserve"> tapasztalatai kerültek felmérésre.</w:t>
            </w:r>
          </w:p>
        </w:tc>
      </w:tr>
      <w:tr w:rsidR="00F754D3" w:rsidRPr="007D2E53" w14:paraId="6E82B5FB" w14:textId="77777777" w:rsidTr="0095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8B372CA" w14:textId="3096B413" w:rsidR="00F754D3" w:rsidRPr="009A6CFE" w:rsidRDefault="00F754D3" w:rsidP="00F754D3">
            <w:pPr>
              <w:rPr>
                <w:sz w:val="18"/>
                <w:szCs w:val="18"/>
              </w:rPr>
            </w:pPr>
            <w:proofErr w:type="spellStart"/>
            <w:r w:rsidRPr="009A6CFE">
              <w:rPr>
                <w:rStyle w:val="HTMLCode"/>
                <w:rFonts w:ascii="Palatino Linotype" w:eastAsiaTheme="majorEastAsia" w:hAnsi="Palatino Linotype"/>
                <w:sz w:val="18"/>
                <w:szCs w:val="18"/>
              </w:rPr>
              <w:t>Alumni</w:t>
            </w:r>
            <w:proofErr w:type="spellEnd"/>
          </w:p>
        </w:tc>
        <w:tc>
          <w:tcPr>
            <w:tcW w:w="1620" w:type="dxa"/>
          </w:tcPr>
          <w:p w14:paraId="07476C3A" w14:textId="7C1EE990" w:rsidR="00F754D3" w:rsidRPr="009A6CFE" w:rsidRDefault="00F754D3" w:rsidP="00F754D3">
            <w:pPr>
              <w:cnfStyle w:val="000000100000" w:firstRow="0" w:lastRow="0" w:firstColumn="0" w:lastColumn="0" w:oddVBand="0" w:evenVBand="0" w:oddHBand="1"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Kérdőíves felmérés és másodelemzés (</w:t>
            </w:r>
            <w:r w:rsidRPr="009A6CFE">
              <w:rPr>
                <w:sz w:val="18"/>
                <w:szCs w:val="18"/>
              </w:rPr>
              <w:t xml:space="preserve">nagymintás hallgatói kérdőív „végzett” státuszú válaszai; </w:t>
            </w:r>
            <w:r w:rsidRPr="009A6CFE">
              <w:rPr>
                <w:rStyle w:val="HTMLCode"/>
                <w:rFonts w:ascii="Palatino Linotype" w:eastAsiaTheme="majorEastAsia" w:hAnsi="Palatino Linotype"/>
                <w:sz w:val="18"/>
                <w:szCs w:val="18"/>
              </w:rPr>
              <w:t>DPR)</w:t>
            </w:r>
          </w:p>
        </w:tc>
        <w:tc>
          <w:tcPr>
            <w:tcW w:w="900" w:type="dxa"/>
          </w:tcPr>
          <w:p w14:paraId="5A0FB36D" w14:textId="4BF1AD46" w:rsidR="00F754D3" w:rsidRPr="009A6CFE" w:rsidRDefault="00F754D3" w:rsidP="00F754D3">
            <w:pPr>
              <w:cnfStyle w:val="000000100000" w:firstRow="0" w:lastRow="0" w:firstColumn="0" w:lastColumn="0" w:oddVBand="0" w:evenVBand="0" w:oddHBand="1"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2026 és 2025</w:t>
            </w:r>
          </w:p>
        </w:tc>
        <w:tc>
          <w:tcPr>
            <w:tcW w:w="990" w:type="dxa"/>
          </w:tcPr>
          <w:p w14:paraId="0868EA97" w14:textId="0FBE0597" w:rsidR="00F754D3" w:rsidRPr="009A6CFE" w:rsidRDefault="00F754D3" w:rsidP="00F754D3">
            <w:pPr>
              <w:cnfStyle w:val="000000100000" w:firstRow="0" w:lastRow="0" w:firstColumn="0" w:lastColumn="0" w:oddVBand="0" w:evenVBand="0" w:oddHBand="1" w:evenHBand="0" w:firstRowFirstColumn="0" w:firstRowLastColumn="0" w:lastRowFirstColumn="0" w:lastRowLastColumn="0"/>
              <w:rPr>
                <w:rStyle w:val="HTMLCode"/>
                <w:rFonts w:ascii="Palatino Linotype" w:eastAsiaTheme="majorEastAsia" w:hAnsi="Palatino Linotype"/>
                <w:sz w:val="18"/>
                <w:szCs w:val="18"/>
              </w:rPr>
            </w:pPr>
            <w:r w:rsidRPr="009A6CFE">
              <w:rPr>
                <w:rStyle w:val="HTMLCode"/>
                <w:rFonts w:ascii="Palatino Linotype" w:eastAsiaTheme="majorEastAsia" w:hAnsi="Palatino Linotype"/>
                <w:sz w:val="18"/>
                <w:szCs w:val="18"/>
              </w:rPr>
              <w:t>1210 fő (végzettek ~20%-a)</w:t>
            </w:r>
          </w:p>
          <w:p w14:paraId="27634BF1" w14:textId="7833A2FE" w:rsidR="00F754D3" w:rsidRPr="009A6CFE" w:rsidRDefault="00F754D3" w:rsidP="00F754D3">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A DPR nem részvételen, hanem közhiteles adatokon alapul</w:t>
            </w:r>
          </w:p>
        </w:tc>
        <w:tc>
          <w:tcPr>
            <w:tcW w:w="2250" w:type="dxa"/>
          </w:tcPr>
          <w:p w14:paraId="2765333F" w14:textId="4C3C6987" w:rsidR="00F754D3" w:rsidRPr="009A6CFE" w:rsidRDefault="00F754D3" w:rsidP="00F754D3">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Szempontok fontossági sorrendje a képzés relevanciájához; elméleti és gyakorlati alapok megítélése; képzés korszerűségének megítélése; tantárgyak rugalmassága és személyre szabhatósága; előfeltételi rend és tananyag-ismétlés megítélése; munkaerőpiaci felkészítés megítélése; kontaktóraszám visszamenőleges megítélése; munkaerőpiaci készségekre való felkészítés (</w:t>
            </w:r>
            <w:proofErr w:type="spellStart"/>
            <w:r w:rsidRPr="009A6CFE">
              <w:rPr>
                <w:sz w:val="18"/>
                <w:szCs w:val="18"/>
              </w:rPr>
              <w:t>soft</w:t>
            </w:r>
            <w:proofErr w:type="spellEnd"/>
            <w:r w:rsidRPr="009A6CFE">
              <w:rPr>
                <w:sz w:val="18"/>
                <w:szCs w:val="18"/>
              </w:rPr>
              <w:t xml:space="preserve"> </w:t>
            </w:r>
            <w:proofErr w:type="spellStart"/>
            <w:r w:rsidRPr="009A6CFE">
              <w:rPr>
                <w:sz w:val="18"/>
                <w:szCs w:val="18"/>
              </w:rPr>
              <w:t>skillek</w:t>
            </w:r>
            <w:proofErr w:type="spellEnd"/>
            <w:r w:rsidRPr="009A6CFE">
              <w:rPr>
                <w:sz w:val="18"/>
                <w:szCs w:val="18"/>
              </w:rPr>
              <w:t>); fejlesztendő kompetenciák és készségigények; képzés legnagyobb erősségei és hiányosságai (szabad szöveges); utólag felértékelődött tudáselemek; NPS (ajánlási hajlandóság)</w:t>
            </w:r>
          </w:p>
        </w:tc>
        <w:tc>
          <w:tcPr>
            <w:tcW w:w="2047" w:type="dxa"/>
          </w:tcPr>
          <w:p w14:paraId="706BB16E" w14:textId="28E25E83" w:rsidR="00F754D3" w:rsidRPr="009A6CFE" w:rsidRDefault="00F754D3" w:rsidP="00F754D3">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Az elvégzett képzés elméleti és gyakorlati felkészítésének megítélése, a tantervi korszerűség, rugalmasság és előfeltételi koherencia visszamenőleges értékelése, a munkaerőpiaci felkészítés megítélése, a hiányzó kompetenciák azonosítása, valamint az általános elégedettség (NPS) kerültek felmérésre; a szabad szöveges válaszok a képzés erősségeit és hiányosságait tárják fel.</w:t>
            </w:r>
          </w:p>
        </w:tc>
      </w:tr>
      <w:tr w:rsidR="00950C7C" w:rsidRPr="007D2E53" w14:paraId="498CBA99" w14:textId="77777777" w:rsidTr="00950C7C">
        <w:tc>
          <w:tcPr>
            <w:cnfStyle w:val="001000000000" w:firstRow="0" w:lastRow="0" w:firstColumn="1" w:lastColumn="0" w:oddVBand="0" w:evenVBand="0" w:oddHBand="0" w:evenHBand="0" w:firstRowFirstColumn="0" w:firstRowLastColumn="0" w:lastRowFirstColumn="0" w:lastRowLastColumn="0"/>
            <w:tcW w:w="1255" w:type="dxa"/>
          </w:tcPr>
          <w:p w14:paraId="278C431D" w14:textId="0F97C12D" w:rsidR="00950C7C" w:rsidRPr="009A6CFE" w:rsidRDefault="00950C7C" w:rsidP="00950C7C">
            <w:pPr>
              <w:rPr>
                <w:sz w:val="18"/>
                <w:szCs w:val="18"/>
              </w:rPr>
            </w:pPr>
            <w:r w:rsidRPr="009A6CFE">
              <w:rPr>
                <w:rFonts w:eastAsiaTheme="majorEastAsia" w:cs="Courier New"/>
                <w:sz w:val="18"/>
                <w:szCs w:val="18"/>
              </w:rPr>
              <w:t>Munkaadók / munkaerőpiaci adatforrások</w:t>
            </w:r>
          </w:p>
        </w:tc>
        <w:tc>
          <w:tcPr>
            <w:tcW w:w="1620" w:type="dxa"/>
          </w:tcPr>
          <w:p w14:paraId="4AF77CC9" w14:textId="0A429F5A"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rPr>
            </w:pPr>
            <w:r w:rsidRPr="009A6CFE">
              <w:rPr>
                <w:rFonts w:eastAsiaTheme="majorEastAsia" w:cs="Courier New"/>
                <w:sz w:val="18"/>
                <w:szCs w:val="18"/>
              </w:rPr>
              <w:t xml:space="preserve">Másodelemzés (DPR adminisztratív adatbázis; WEF – </w:t>
            </w:r>
            <w:proofErr w:type="spellStart"/>
            <w:r w:rsidRPr="009A6CFE">
              <w:rPr>
                <w:rFonts w:eastAsiaTheme="majorEastAsia" w:cs="Courier New"/>
                <w:sz w:val="18"/>
                <w:szCs w:val="18"/>
              </w:rPr>
              <w:t>Future</w:t>
            </w:r>
            <w:proofErr w:type="spellEnd"/>
            <w:r w:rsidRPr="009A6CFE">
              <w:rPr>
                <w:rFonts w:eastAsiaTheme="majorEastAsia" w:cs="Courier New"/>
                <w:sz w:val="18"/>
                <w:szCs w:val="18"/>
              </w:rPr>
              <w:t xml:space="preserve"> of </w:t>
            </w:r>
            <w:proofErr w:type="spellStart"/>
            <w:r w:rsidRPr="009A6CFE">
              <w:rPr>
                <w:rFonts w:eastAsiaTheme="majorEastAsia" w:cs="Courier New"/>
                <w:sz w:val="18"/>
                <w:szCs w:val="18"/>
              </w:rPr>
              <w:t>Jobs</w:t>
            </w:r>
            <w:proofErr w:type="spellEnd"/>
            <w:r w:rsidRPr="009A6CFE">
              <w:rPr>
                <w:rFonts w:eastAsiaTheme="majorEastAsia" w:cs="Courier New"/>
                <w:sz w:val="18"/>
                <w:szCs w:val="18"/>
              </w:rPr>
              <w:t xml:space="preserve"> </w:t>
            </w:r>
            <w:proofErr w:type="spellStart"/>
            <w:r w:rsidRPr="009A6CFE">
              <w:rPr>
                <w:rFonts w:eastAsiaTheme="majorEastAsia" w:cs="Courier New"/>
                <w:sz w:val="18"/>
                <w:szCs w:val="18"/>
              </w:rPr>
              <w:t>Report</w:t>
            </w:r>
            <w:proofErr w:type="spellEnd"/>
            <w:r w:rsidRPr="009A6CFE">
              <w:rPr>
                <w:rFonts w:eastAsiaTheme="majorEastAsia" w:cs="Courier New"/>
                <w:sz w:val="18"/>
                <w:szCs w:val="18"/>
              </w:rPr>
              <w:t xml:space="preserve"> 2025)</w:t>
            </w:r>
          </w:p>
        </w:tc>
        <w:tc>
          <w:tcPr>
            <w:tcW w:w="900" w:type="dxa"/>
          </w:tcPr>
          <w:p w14:paraId="137B0F47" w14:textId="12163129"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rPr>
            </w:pPr>
            <w:r w:rsidRPr="009A6CFE">
              <w:rPr>
                <w:rStyle w:val="HTMLCode"/>
                <w:rFonts w:ascii="Palatino Linotype" w:eastAsiaTheme="majorEastAsia" w:hAnsi="Palatino Linotype"/>
                <w:sz w:val="18"/>
                <w:szCs w:val="18"/>
              </w:rPr>
              <w:t>2024- 2025</w:t>
            </w:r>
          </w:p>
        </w:tc>
        <w:tc>
          <w:tcPr>
            <w:tcW w:w="990" w:type="dxa"/>
          </w:tcPr>
          <w:p w14:paraId="7305CB9D" w14:textId="3C768D90"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DPR: 2015/16–2021/22 között végzett hallgatók teljes köre; WEF: 1000+ munkáltató,</w:t>
            </w:r>
            <w:r w:rsidR="00950215" w:rsidRPr="009A6CFE">
              <w:rPr>
                <w:sz w:val="18"/>
                <w:szCs w:val="18"/>
              </w:rPr>
              <w:t xml:space="preserve"> </w:t>
            </w:r>
            <w:r w:rsidRPr="009A6CFE">
              <w:rPr>
                <w:sz w:val="18"/>
                <w:szCs w:val="18"/>
              </w:rPr>
              <w:t>~14 millió munkavállaló</w:t>
            </w:r>
          </w:p>
        </w:tc>
        <w:tc>
          <w:tcPr>
            <w:tcW w:w="2250" w:type="dxa"/>
          </w:tcPr>
          <w:p w14:paraId="40614869" w14:textId="76760014"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 xml:space="preserve">Elhelyezkedési arány és idő diplomaszerzés után; képzésnek megfelelő foglalkoztatás aránya; béradatok és jövedelmi tendenciák; legjobban növekvő és csökkenő munkakörök 2025–2030; technológiai átalakulás által érintett kompetenciák; AI és </w:t>
            </w:r>
            <w:proofErr w:type="spellStart"/>
            <w:r w:rsidRPr="009A6CFE">
              <w:rPr>
                <w:sz w:val="18"/>
                <w:szCs w:val="18"/>
              </w:rPr>
              <w:t>automatizáció</w:t>
            </w:r>
            <w:proofErr w:type="spellEnd"/>
            <w:r w:rsidRPr="009A6CFE">
              <w:rPr>
                <w:sz w:val="18"/>
                <w:szCs w:val="18"/>
              </w:rPr>
              <w:t xml:space="preserve"> hatása a mérnöki munkakörokre; legkeresettebb készségek (analitikus gondolkodás, technológiai jártasság, kreativitás)</w:t>
            </w:r>
          </w:p>
        </w:tc>
        <w:tc>
          <w:tcPr>
            <w:tcW w:w="2047" w:type="dxa"/>
          </w:tcPr>
          <w:p w14:paraId="6F23C014" w14:textId="09843578"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rPr>
            </w:pPr>
            <w:r w:rsidRPr="009A6CFE">
              <w:rPr>
                <w:sz w:val="18"/>
                <w:szCs w:val="18"/>
              </w:rPr>
              <w:t>A DPR a műszaki diplomások munkaerőpiaci beilleszkedési sebességéről, foglalkoztatási arányairól és bérviszonyairól tartalmaz adatokat; a WEF a 2025–2030 közötti időszak munkaköri átalakulásait, a növekvő és csökkenő szerepköröket, valamint a mérnöki-műszaki és digitális kompetenciák iránti kereslet várható alakulását mutatja be.</w:t>
            </w:r>
          </w:p>
        </w:tc>
      </w:tr>
      <w:tr w:rsidR="00950215" w:rsidRPr="007D2E53" w14:paraId="368096C9" w14:textId="77777777" w:rsidTr="0095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3976B7E7" w14:textId="528418CA" w:rsidR="00950215" w:rsidRPr="009A6CFE" w:rsidRDefault="00950215" w:rsidP="00950C7C">
            <w:pPr>
              <w:rPr>
                <w:rFonts w:eastAsiaTheme="majorEastAsia" w:cs="Courier New"/>
                <w:sz w:val="18"/>
                <w:szCs w:val="18"/>
              </w:rPr>
            </w:pPr>
            <w:r w:rsidRPr="009A6CFE">
              <w:rPr>
                <w:rFonts w:eastAsiaTheme="majorEastAsia" w:cs="Courier New"/>
                <w:sz w:val="18"/>
                <w:szCs w:val="18"/>
              </w:rPr>
              <w:t>Oktatók</w:t>
            </w:r>
          </w:p>
        </w:tc>
        <w:tc>
          <w:tcPr>
            <w:tcW w:w="1620" w:type="dxa"/>
          </w:tcPr>
          <w:p w14:paraId="1A79E366" w14:textId="668EBD1F" w:rsidR="00950215" w:rsidRPr="009A6CFE" w:rsidRDefault="00950215" w:rsidP="00950C7C">
            <w:pPr>
              <w:cnfStyle w:val="000000100000" w:firstRow="0" w:lastRow="0" w:firstColumn="0" w:lastColumn="0" w:oddVBand="0" w:evenVBand="0" w:oddHBand="1" w:evenHBand="0" w:firstRowFirstColumn="0" w:firstRowLastColumn="0" w:lastRowFirstColumn="0" w:lastRowLastColumn="0"/>
              <w:rPr>
                <w:rFonts w:eastAsiaTheme="majorEastAsia" w:cs="Courier New"/>
                <w:sz w:val="18"/>
                <w:szCs w:val="18"/>
              </w:rPr>
            </w:pPr>
            <w:r w:rsidRPr="009A6CFE">
              <w:rPr>
                <w:rFonts w:eastAsiaTheme="majorEastAsia" w:cs="Courier New"/>
                <w:sz w:val="18"/>
                <w:szCs w:val="18"/>
              </w:rPr>
              <w:t>Kérdőíves felmérés</w:t>
            </w:r>
          </w:p>
        </w:tc>
        <w:tc>
          <w:tcPr>
            <w:tcW w:w="900" w:type="dxa"/>
          </w:tcPr>
          <w:p w14:paraId="511588A9" w14:textId="273470B4" w:rsidR="00950215" w:rsidRPr="009A6CFE" w:rsidRDefault="00950215" w:rsidP="00950C7C">
            <w:pPr>
              <w:cnfStyle w:val="000000100000" w:firstRow="0" w:lastRow="0" w:firstColumn="0" w:lastColumn="0" w:oddVBand="0" w:evenVBand="0" w:oddHBand="1" w:evenHBand="0" w:firstRowFirstColumn="0" w:firstRowLastColumn="0" w:lastRowFirstColumn="0" w:lastRowLastColumn="0"/>
              <w:rPr>
                <w:rStyle w:val="HTMLCode"/>
                <w:rFonts w:ascii="Palatino Linotype" w:eastAsiaTheme="majorEastAsia" w:hAnsi="Palatino Linotype"/>
                <w:sz w:val="18"/>
                <w:szCs w:val="18"/>
              </w:rPr>
            </w:pPr>
            <w:r w:rsidRPr="009A6CFE">
              <w:rPr>
                <w:rStyle w:val="HTMLCode"/>
                <w:rFonts w:ascii="Palatino Linotype" w:eastAsiaTheme="majorEastAsia" w:hAnsi="Palatino Linotype"/>
                <w:sz w:val="18"/>
                <w:szCs w:val="18"/>
              </w:rPr>
              <w:t>2024</w:t>
            </w:r>
          </w:p>
        </w:tc>
        <w:tc>
          <w:tcPr>
            <w:tcW w:w="990" w:type="dxa"/>
          </w:tcPr>
          <w:p w14:paraId="4228959C" w14:textId="1ADEA626" w:rsidR="00950215" w:rsidRPr="009A6CFE" w:rsidRDefault="00950215" w:rsidP="00950C7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424 fő</w:t>
            </w:r>
            <w:r w:rsidR="00EB5906" w:rsidRPr="009A6CFE">
              <w:rPr>
                <w:sz w:val="18"/>
                <w:szCs w:val="18"/>
              </w:rPr>
              <w:t xml:space="preserve"> (összesen 1400 kitöltésre felkért)</w:t>
            </w:r>
            <w:r w:rsidRPr="009A6CFE">
              <w:rPr>
                <w:sz w:val="18"/>
                <w:szCs w:val="18"/>
              </w:rPr>
              <w:t xml:space="preserve"> </w:t>
            </w:r>
          </w:p>
        </w:tc>
        <w:tc>
          <w:tcPr>
            <w:tcW w:w="2250" w:type="dxa"/>
          </w:tcPr>
          <w:p w14:paraId="2A004FD3" w14:textId="6A98AF9B" w:rsidR="00950215" w:rsidRPr="009A6CFE" w:rsidRDefault="00EB5906" w:rsidP="00950C7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Elkötelezettség, kollegiális kapcsolatok, oktatás, Egyetem megítélése, juttatások és szolgáltatások megítélése.</w:t>
            </w:r>
          </w:p>
        </w:tc>
        <w:tc>
          <w:tcPr>
            <w:tcW w:w="2047" w:type="dxa"/>
          </w:tcPr>
          <w:p w14:paraId="6903166F" w14:textId="5EBCC2C1" w:rsidR="00950215" w:rsidRPr="009A6CFE" w:rsidRDefault="00EB5906" w:rsidP="00950C7C">
            <w:pPr>
              <w:cnfStyle w:val="000000100000" w:firstRow="0" w:lastRow="0" w:firstColumn="0" w:lastColumn="0" w:oddVBand="0" w:evenVBand="0" w:oddHBand="1" w:evenHBand="0" w:firstRowFirstColumn="0" w:firstRowLastColumn="0" w:lastRowFirstColumn="0" w:lastRowLastColumn="0"/>
              <w:rPr>
                <w:sz w:val="18"/>
                <w:szCs w:val="18"/>
              </w:rPr>
            </w:pPr>
            <w:r w:rsidRPr="009A6CFE">
              <w:rPr>
                <w:sz w:val="18"/>
                <w:szCs w:val="18"/>
              </w:rPr>
              <w:t>Oktatói igényeket, preferenciákat és az aktuális elégedettséget mutatja be.</w:t>
            </w:r>
          </w:p>
        </w:tc>
      </w:tr>
      <w:tr w:rsidR="00950C7C" w:rsidRPr="007D2E53" w14:paraId="2CC0828F" w14:textId="77777777" w:rsidTr="00950C7C">
        <w:tc>
          <w:tcPr>
            <w:cnfStyle w:val="001000000000" w:firstRow="0" w:lastRow="0" w:firstColumn="1" w:lastColumn="0" w:oddVBand="0" w:evenVBand="0" w:oddHBand="0" w:evenHBand="0" w:firstRowFirstColumn="0" w:firstRowLastColumn="0" w:lastRowFirstColumn="0" w:lastRowLastColumn="0"/>
            <w:tcW w:w="1255" w:type="dxa"/>
          </w:tcPr>
          <w:p w14:paraId="36DF58D3" w14:textId="43F2C8E4" w:rsidR="00950C7C" w:rsidRPr="009A6CFE" w:rsidRDefault="00950C7C" w:rsidP="00950C7C">
            <w:pPr>
              <w:rPr>
                <w:sz w:val="18"/>
                <w:szCs w:val="18"/>
                <w:highlight w:val="yellow"/>
              </w:rPr>
            </w:pPr>
            <w:r w:rsidRPr="009A6CFE">
              <w:rPr>
                <w:rStyle w:val="HTMLCode"/>
                <w:rFonts w:ascii="Palatino Linotype" w:eastAsiaTheme="majorEastAsia" w:hAnsi="Palatino Linotype"/>
                <w:sz w:val="18"/>
                <w:szCs w:val="18"/>
                <w:highlight w:val="yellow"/>
              </w:rPr>
              <w:t>Oktatók</w:t>
            </w:r>
          </w:p>
        </w:tc>
        <w:tc>
          <w:tcPr>
            <w:tcW w:w="1620" w:type="dxa"/>
          </w:tcPr>
          <w:p w14:paraId="315F56F1" w14:textId="1EADC9F6"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900" w:type="dxa"/>
          </w:tcPr>
          <w:p w14:paraId="31972F8C" w14:textId="22F0ED04"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990" w:type="dxa"/>
          </w:tcPr>
          <w:p w14:paraId="1007D917" w14:textId="3DC63D7D"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2250" w:type="dxa"/>
          </w:tcPr>
          <w:p w14:paraId="182008EC" w14:textId="1CE939D8"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2047" w:type="dxa"/>
          </w:tcPr>
          <w:p w14:paraId="2002F6BD" w14:textId="046889A0" w:rsidR="00950C7C" w:rsidRPr="009A6CFE" w:rsidRDefault="00950C7C" w:rsidP="00950C7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9A6CFE">
              <w:rPr>
                <w:sz w:val="18"/>
                <w:szCs w:val="18"/>
                <w:highlight w:val="yellow"/>
              </w:rPr>
              <w:t>&lt;&lt;KITÖLTENDŐ&gt;&gt;</w:t>
            </w:r>
          </w:p>
        </w:tc>
      </w:tr>
      <w:tr w:rsidR="00950C7C" w:rsidRPr="007D2E53" w14:paraId="7F2BFB13" w14:textId="77777777" w:rsidTr="00950C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705D6FE1" w14:textId="1DCAB63E" w:rsidR="00950C7C" w:rsidRPr="009A6CFE" w:rsidRDefault="00950C7C" w:rsidP="00950C7C">
            <w:pPr>
              <w:rPr>
                <w:sz w:val="18"/>
                <w:szCs w:val="18"/>
                <w:highlight w:val="yellow"/>
              </w:rPr>
            </w:pPr>
            <w:r w:rsidRPr="009A6CFE">
              <w:rPr>
                <w:rStyle w:val="HTMLCode"/>
                <w:rFonts w:ascii="Palatino Linotype" w:eastAsiaTheme="majorEastAsia" w:hAnsi="Palatino Linotype"/>
                <w:sz w:val="18"/>
                <w:szCs w:val="18"/>
                <w:highlight w:val="yellow"/>
              </w:rPr>
              <w:t>Nemzetközi partnerintézmények</w:t>
            </w:r>
          </w:p>
        </w:tc>
        <w:tc>
          <w:tcPr>
            <w:tcW w:w="1620" w:type="dxa"/>
          </w:tcPr>
          <w:p w14:paraId="4B99F2F7" w14:textId="0103FBA2" w:rsidR="00950C7C" w:rsidRPr="009A6CF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900" w:type="dxa"/>
          </w:tcPr>
          <w:p w14:paraId="6C0ABAAE" w14:textId="6057015B" w:rsidR="00950C7C" w:rsidRPr="009A6CF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990" w:type="dxa"/>
          </w:tcPr>
          <w:p w14:paraId="72A893F4" w14:textId="174F8D36" w:rsidR="00950C7C" w:rsidRPr="009A6CF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2250" w:type="dxa"/>
          </w:tcPr>
          <w:p w14:paraId="4840E376" w14:textId="637AFE08" w:rsidR="00950C7C" w:rsidRPr="009A6CF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9A6CFE">
              <w:rPr>
                <w:sz w:val="18"/>
                <w:szCs w:val="18"/>
                <w:highlight w:val="yellow"/>
              </w:rPr>
              <w:t>&lt;&lt;KITÖLTENDŐ&gt;&gt;</w:t>
            </w:r>
          </w:p>
        </w:tc>
        <w:tc>
          <w:tcPr>
            <w:tcW w:w="2047" w:type="dxa"/>
          </w:tcPr>
          <w:p w14:paraId="7C630E64" w14:textId="1C66022A" w:rsidR="00950C7C" w:rsidRPr="009A6CF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9A6CFE">
              <w:rPr>
                <w:sz w:val="18"/>
                <w:szCs w:val="18"/>
                <w:highlight w:val="yellow"/>
              </w:rPr>
              <w:t>&lt;&lt;KITÖLTENDŐ&gt;&gt;</w:t>
            </w:r>
          </w:p>
        </w:tc>
      </w:tr>
    </w:tbl>
    <w:p w14:paraId="554C05B5" w14:textId="77777777" w:rsidR="0092683F" w:rsidRPr="002B0721" w:rsidRDefault="0092683F" w:rsidP="0092683F"/>
    <w:p w14:paraId="6083C9B1" w14:textId="77777777" w:rsidR="0092683F" w:rsidRPr="002B0721" w:rsidRDefault="0092683F" w:rsidP="0092683F">
      <w:pPr>
        <w:pStyle w:val="Heading2"/>
      </w:pPr>
      <w:r w:rsidRPr="002B0721">
        <w:t>Visszacsatolási napló</w:t>
      </w:r>
    </w:p>
    <w:p w14:paraId="0027009C" w14:textId="77777777" w:rsidR="00593570" w:rsidRDefault="00032A4C">
      <w:pPr>
        <w:pStyle w:val="Infobox"/>
      </w:pPr>
      <w:r>
        <w:t>INFOBOX: Ez az alfejezet a „</w:t>
      </w:r>
      <w:r w:rsidR="00593570" w:rsidRPr="00593570">
        <w:rPr>
          <w:i/>
          <w:iCs/>
        </w:rPr>
        <w:t>Te mondtad</w:t>
      </w:r>
      <w:r w:rsidRPr="00593570">
        <w:rPr>
          <w:i/>
          <w:iCs/>
        </w:rPr>
        <w:t xml:space="preserve"> – </w:t>
      </w:r>
      <w:r w:rsidR="00593570" w:rsidRPr="00593570">
        <w:rPr>
          <w:i/>
          <w:iCs/>
        </w:rPr>
        <w:t>mi megtettük</w:t>
      </w:r>
      <w:r>
        <w:t xml:space="preserve">” logikáját tegye láthatóvá, vagyis mutassa meg, hogy az érintetti visszajelzésekből mi lett. Minden fontosabb jelzéshez rendeljen döntést, intézkedést vagy indokolt el nem fogadást, valamint jelezze az adott ügy státuszát. Külön érték, ha az olvasó rögtön látja azt is, hogy az adott kérdés a jelentés mely részében jelenik meg. A visszacsatolási napló az elszámoltathatóság és a részvételi minőségbiztosítás egyik legerősebb bizonyítéka. </w:t>
      </w:r>
    </w:p>
    <w:p w14:paraId="3ADD7C71" w14:textId="50810198" w:rsidR="00DA0DBC" w:rsidRDefault="00032A4C">
      <w:pPr>
        <w:pStyle w:val="Infobox"/>
      </w:pPr>
      <w:r>
        <w:t>Kapcsolódó ESG: 1.1 Minőségbiztosítási politika, 1.7 Információkezelés, 1.9 A képzési programok folyamatos figyelemmel kísérése és rendszeres értékelése.</w:t>
      </w:r>
    </w:p>
    <w:tbl>
      <w:tblPr>
        <w:tblStyle w:val="GridTable4-Accent1"/>
        <w:tblW w:w="0" w:type="auto"/>
        <w:tblLook w:val="04A0" w:firstRow="1" w:lastRow="0" w:firstColumn="1" w:lastColumn="0" w:noHBand="0" w:noVBand="1"/>
      </w:tblPr>
      <w:tblGrid>
        <w:gridCol w:w="2327"/>
        <w:gridCol w:w="2315"/>
        <w:gridCol w:w="2214"/>
        <w:gridCol w:w="2206"/>
      </w:tblGrid>
      <w:tr w:rsidR="00950C7C" w:rsidRPr="00950C7C" w14:paraId="494C4F3D" w14:textId="77777777" w:rsidTr="009268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7" w:type="dxa"/>
          </w:tcPr>
          <w:p w14:paraId="5DFBDF87" w14:textId="37624E6A" w:rsidR="00950C7C" w:rsidRPr="00950C7C" w:rsidRDefault="00950C7C" w:rsidP="00950C7C">
            <w:pPr>
              <w:jc w:val="center"/>
              <w:rPr>
                <w:sz w:val="18"/>
                <w:szCs w:val="18"/>
              </w:rPr>
            </w:pPr>
            <w:r w:rsidRPr="00950C7C">
              <w:rPr>
                <w:sz w:val="18"/>
                <w:szCs w:val="18"/>
              </w:rPr>
              <w:t>Érintetti jelzés</w:t>
            </w:r>
          </w:p>
        </w:tc>
        <w:tc>
          <w:tcPr>
            <w:tcW w:w="2315" w:type="dxa"/>
          </w:tcPr>
          <w:p w14:paraId="22BB2E23" w14:textId="7B62A48D" w:rsidR="00950C7C" w:rsidRPr="00950C7C" w:rsidRDefault="00950C7C" w:rsidP="00950C7C">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0C7C">
              <w:rPr>
                <w:sz w:val="18"/>
                <w:szCs w:val="18"/>
              </w:rPr>
              <w:t>Döntés / intézkedés</w:t>
            </w:r>
          </w:p>
        </w:tc>
        <w:tc>
          <w:tcPr>
            <w:tcW w:w="2214" w:type="dxa"/>
          </w:tcPr>
          <w:p w14:paraId="01E5C45E" w14:textId="15E1B481" w:rsidR="00950C7C" w:rsidRPr="00950C7C" w:rsidRDefault="00950C7C" w:rsidP="00950C7C">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0C7C">
              <w:rPr>
                <w:sz w:val="18"/>
                <w:szCs w:val="18"/>
              </w:rPr>
              <w:t>Státusz</w:t>
            </w:r>
          </w:p>
        </w:tc>
        <w:tc>
          <w:tcPr>
            <w:tcW w:w="2206" w:type="dxa"/>
          </w:tcPr>
          <w:p w14:paraId="66AB00D8" w14:textId="5490E58F" w:rsidR="00950C7C" w:rsidRPr="00950C7C" w:rsidRDefault="00950C7C" w:rsidP="00950C7C">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0C7C">
              <w:rPr>
                <w:sz w:val="18"/>
                <w:szCs w:val="18"/>
              </w:rPr>
              <w:t>Hol jelenik meg a jelentésben</w:t>
            </w:r>
          </w:p>
        </w:tc>
      </w:tr>
      <w:tr w:rsidR="00950C7C" w:rsidRPr="00950C7C" w14:paraId="0A37FA13" w14:textId="77777777" w:rsidTr="00926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687FA380" w14:textId="4218CF27" w:rsidR="00950C7C" w:rsidRPr="006E298E" w:rsidRDefault="00950C7C" w:rsidP="00950C7C">
            <w:pPr>
              <w:rPr>
                <w:sz w:val="18"/>
                <w:szCs w:val="18"/>
                <w:highlight w:val="yellow"/>
              </w:rPr>
            </w:pPr>
            <w:r w:rsidRPr="006E298E">
              <w:rPr>
                <w:sz w:val="18"/>
                <w:szCs w:val="18"/>
                <w:highlight w:val="yellow"/>
              </w:rPr>
              <w:t xml:space="preserve">Aktív hallgatók: Az iparban használt szimulációs szoftverek (pl. ANSYS, </w:t>
            </w:r>
            <w:proofErr w:type="spellStart"/>
            <w:r w:rsidRPr="006E298E">
              <w:rPr>
                <w:sz w:val="18"/>
                <w:szCs w:val="18"/>
                <w:highlight w:val="yellow"/>
              </w:rPr>
              <w:t>Abaqus</w:t>
            </w:r>
            <w:proofErr w:type="spellEnd"/>
            <w:r w:rsidRPr="006E298E">
              <w:rPr>
                <w:sz w:val="18"/>
                <w:szCs w:val="18"/>
                <w:highlight w:val="yellow"/>
              </w:rPr>
              <w:t>) csak korlátozott mértékben szerepelnek a képzésben.</w:t>
            </w:r>
          </w:p>
        </w:tc>
        <w:tc>
          <w:tcPr>
            <w:tcW w:w="2315" w:type="dxa"/>
          </w:tcPr>
          <w:p w14:paraId="03B04EC7" w14:textId="070E3157" w:rsidR="00950C7C" w:rsidRPr="006E298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6E298E">
              <w:rPr>
                <w:sz w:val="18"/>
                <w:szCs w:val="18"/>
                <w:highlight w:val="yellow"/>
              </w:rPr>
              <w:t>Egy meglévő laborgyakorlat tematikájának bővítése ipari szoftverkörnyezettel</w:t>
            </w:r>
          </w:p>
        </w:tc>
        <w:tc>
          <w:tcPr>
            <w:tcW w:w="2214" w:type="dxa"/>
          </w:tcPr>
          <w:p w14:paraId="1DCAE3A3" w14:textId="6AD9DF5B" w:rsidR="00950C7C" w:rsidRPr="006E298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6E298E">
              <w:rPr>
                <w:sz w:val="18"/>
                <w:szCs w:val="18"/>
                <w:highlight w:val="yellow"/>
              </w:rPr>
              <w:t>tervezett</w:t>
            </w:r>
          </w:p>
        </w:tc>
        <w:tc>
          <w:tcPr>
            <w:tcW w:w="2206" w:type="dxa"/>
          </w:tcPr>
          <w:p w14:paraId="0B8BB8AA" w14:textId="0698164D" w:rsidR="00950C7C" w:rsidRPr="006E298E" w:rsidRDefault="00950C7C" w:rsidP="00950C7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6E298E">
              <w:rPr>
                <w:sz w:val="18"/>
                <w:szCs w:val="18"/>
                <w:highlight w:val="yellow"/>
              </w:rPr>
              <w:t>3.3 Képzés korszerűsége; 4.1 Fejlesztési javaslatok</w:t>
            </w:r>
          </w:p>
        </w:tc>
      </w:tr>
      <w:tr w:rsidR="00950C7C" w:rsidRPr="00950C7C" w14:paraId="4BCA4BF4" w14:textId="77777777" w:rsidTr="0092683F">
        <w:tc>
          <w:tcPr>
            <w:cnfStyle w:val="001000000000" w:firstRow="0" w:lastRow="0" w:firstColumn="1" w:lastColumn="0" w:oddVBand="0" w:evenVBand="0" w:oddHBand="0" w:evenHBand="0" w:firstRowFirstColumn="0" w:firstRowLastColumn="0" w:lastRowFirstColumn="0" w:lastRowLastColumn="0"/>
            <w:tcW w:w="2327" w:type="dxa"/>
          </w:tcPr>
          <w:p w14:paraId="14A48B16" w14:textId="17673926" w:rsidR="00950C7C" w:rsidRPr="00950C7C" w:rsidRDefault="006E298E" w:rsidP="00950C7C">
            <w:pPr>
              <w:rPr>
                <w:sz w:val="18"/>
                <w:szCs w:val="18"/>
              </w:rPr>
            </w:pPr>
            <w:r w:rsidRPr="006E298E">
              <w:rPr>
                <w:sz w:val="18"/>
                <w:szCs w:val="18"/>
              </w:rPr>
              <w:t>&lt;&lt;KITÖLTENDŐ&gt;&gt;</w:t>
            </w:r>
          </w:p>
        </w:tc>
        <w:tc>
          <w:tcPr>
            <w:tcW w:w="2315" w:type="dxa"/>
          </w:tcPr>
          <w:p w14:paraId="0778961D" w14:textId="49189FFD" w:rsidR="00950C7C" w:rsidRPr="00950C7C" w:rsidRDefault="006E298E" w:rsidP="00950C7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214" w:type="dxa"/>
          </w:tcPr>
          <w:p w14:paraId="38237A77" w14:textId="49EEAA10" w:rsidR="00950C7C" w:rsidRPr="00950C7C" w:rsidRDefault="006E298E" w:rsidP="00950C7C">
            <w:pPr>
              <w:cnfStyle w:val="000000000000" w:firstRow="0" w:lastRow="0" w:firstColumn="0" w:lastColumn="0" w:oddVBand="0" w:evenVBand="0" w:oddHBand="0" w:evenHBand="0" w:firstRowFirstColumn="0" w:firstRowLastColumn="0" w:lastRowFirstColumn="0" w:lastRowLastColumn="0"/>
              <w:rPr>
                <w:sz w:val="18"/>
                <w:szCs w:val="18"/>
              </w:rPr>
            </w:pPr>
            <w:r w:rsidRPr="006E298E">
              <w:rPr>
                <w:sz w:val="18"/>
                <w:szCs w:val="18"/>
              </w:rPr>
              <w:t>&lt;&lt;tervezett / folyamatban / lezárt&gt;&gt;</w:t>
            </w:r>
          </w:p>
        </w:tc>
        <w:tc>
          <w:tcPr>
            <w:tcW w:w="2206" w:type="dxa"/>
          </w:tcPr>
          <w:p w14:paraId="441DF199" w14:textId="7735AAA3" w:rsidR="00950C7C" w:rsidRPr="00950C7C" w:rsidRDefault="006E298E" w:rsidP="00950C7C">
            <w:pPr>
              <w:cnfStyle w:val="000000000000" w:firstRow="0" w:lastRow="0" w:firstColumn="0" w:lastColumn="0" w:oddVBand="0" w:evenVBand="0" w:oddHBand="0" w:evenHBand="0" w:firstRowFirstColumn="0" w:firstRowLastColumn="0" w:lastRowFirstColumn="0" w:lastRowLastColumn="0"/>
              <w:rPr>
                <w:sz w:val="18"/>
                <w:szCs w:val="18"/>
              </w:rPr>
            </w:pPr>
            <w:r w:rsidRPr="006E298E">
              <w:rPr>
                <w:sz w:val="18"/>
                <w:szCs w:val="18"/>
              </w:rPr>
              <w:t>&lt;&lt;pl. 4.1; 2. melléklet&gt;&gt;</w:t>
            </w:r>
          </w:p>
        </w:tc>
      </w:tr>
      <w:tr w:rsidR="006E298E" w:rsidRPr="00950C7C" w14:paraId="75EFE48F" w14:textId="77777777" w:rsidTr="00926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2AD0B386" w14:textId="668CF800" w:rsidR="006E298E" w:rsidRPr="00950C7C" w:rsidRDefault="006E298E" w:rsidP="006E298E">
            <w:pPr>
              <w:rPr>
                <w:sz w:val="18"/>
                <w:szCs w:val="18"/>
              </w:rPr>
            </w:pPr>
            <w:r w:rsidRPr="006E298E">
              <w:rPr>
                <w:sz w:val="18"/>
                <w:szCs w:val="18"/>
              </w:rPr>
              <w:t>&lt;&lt;KITÖLTENDŐ&gt;&gt;</w:t>
            </w:r>
          </w:p>
        </w:tc>
        <w:tc>
          <w:tcPr>
            <w:tcW w:w="2315" w:type="dxa"/>
          </w:tcPr>
          <w:p w14:paraId="2383D407" w14:textId="7C6656A1" w:rsidR="006E298E" w:rsidRPr="00950C7C" w:rsidRDefault="006E298E" w:rsidP="006E298E">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2214" w:type="dxa"/>
          </w:tcPr>
          <w:p w14:paraId="1369DACD" w14:textId="5C8C5172" w:rsidR="006E298E" w:rsidRPr="00950C7C" w:rsidRDefault="006E298E" w:rsidP="006E298E">
            <w:pPr>
              <w:cnfStyle w:val="000000100000" w:firstRow="0" w:lastRow="0" w:firstColumn="0" w:lastColumn="0" w:oddVBand="0" w:evenVBand="0" w:oddHBand="1" w:evenHBand="0" w:firstRowFirstColumn="0" w:firstRowLastColumn="0" w:lastRowFirstColumn="0" w:lastRowLastColumn="0"/>
              <w:rPr>
                <w:sz w:val="18"/>
                <w:szCs w:val="18"/>
              </w:rPr>
            </w:pPr>
            <w:r w:rsidRPr="006E298E">
              <w:rPr>
                <w:sz w:val="18"/>
                <w:szCs w:val="18"/>
              </w:rPr>
              <w:t>&lt;&lt;tervezett / folyamatban / lezárt&gt;&gt;</w:t>
            </w:r>
          </w:p>
        </w:tc>
        <w:tc>
          <w:tcPr>
            <w:tcW w:w="2206" w:type="dxa"/>
          </w:tcPr>
          <w:p w14:paraId="5EFB9E2C" w14:textId="190CA868" w:rsidR="006E298E" w:rsidRPr="00950C7C" w:rsidRDefault="006E298E" w:rsidP="006E298E">
            <w:pPr>
              <w:cnfStyle w:val="000000100000" w:firstRow="0" w:lastRow="0" w:firstColumn="0" w:lastColumn="0" w:oddVBand="0" w:evenVBand="0" w:oddHBand="1" w:evenHBand="0" w:firstRowFirstColumn="0" w:firstRowLastColumn="0" w:lastRowFirstColumn="0" w:lastRowLastColumn="0"/>
              <w:rPr>
                <w:sz w:val="18"/>
                <w:szCs w:val="18"/>
              </w:rPr>
            </w:pPr>
            <w:r w:rsidRPr="006E298E">
              <w:rPr>
                <w:sz w:val="18"/>
                <w:szCs w:val="18"/>
              </w:rPr>
              <w:t>&lt;&lt;pl. 4.1; 2. melléklet&gt;&gt;</w:t>
            </w:r>
          </w:p>
        </w:tc>
      </w:tr>
      <w:tr w:rsidR="006E298E" w:rsidRPr="00950C7C" w14:paraId="07382585" w14:textId="77777777" w:rsidTr="0092683F">
        <w:tc>
          <w:tcPr>
            <w:cnfStyle w:val="001000000000" w:firstRow="0" w:lastRow="0" w:firstColumn="1" w:lastColumn="0" w:oddVBand="0" w:evenVBand="0" w:oddHBand="0" w:evenHBand="0" w:firstRowFirstColumn="0" w:firstRowLastColumn="0" w:lastRowFirstColumn="0" w:lastRowLastColumn="0"/>
            <w:tcW w:w="2327" w:type="dxa"/>
          </w:tcPr>
          <w:p w14:paraId="0F203558" w14:textId="03EB8E7A" w:rsidR="006E298E" w:rsidRPr="00950C7C" w:rsidRDefault="006E298E" w:rsidP="006E298E">
            <w:pPr>
              <w:rPr>
                <w:sz w:val="18"/>
                <w:szCs w:val="18"/>
              </w:rPr>
            </w:pPr>
            <w:r w:rsidRPr="006E298E">
              <w:rPr>
                <w:sz w:val="18"/>
                <w:szCs w:val="18"/>
              </w:rPr>
              <w:t>&lt;&lt;KITÖLTENDŐ&gt;&gt;</w:t>
            </w:r>
          </w:p>
        </w:tc>
        <w:tc>
          <w:tcPr>
            <w:tcW w:w="2315" w:type="dxa"/>
          </w:tcPr>
          <w:p w14:paraId="61AB19F4" w14:textId="7DCA4184" w:rsidR="006E298E" w:rsidRPr="00950C7C" w:rsidRDefault="006E298E" w:rsidP="006E298E">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214" w:type="dxa"/>
          </w:tcPr>
          <w:p w14:paraId="7C0F8D30" w14:textId="6A416C95" w:rsidR="006E298E" w:rsidRPr="00950C7C" w:rsidRDefault="006E298E" w:rsidP="006E298E">
            <w:pPr>
              <w:cnfStyle w:val="000000000000" w:firstRow="0" w:lastRow="0" w:firstColumn="0" w:lastColumn="0" w:oddVBand="0" w:evenVBand="0" w:oddHBand="0" w:evenHBand="0" w:firstRowFirstColumn="0" w:firstRowLastColumn="0" w:lastRowFirstColumn="0" w:lastRowLastColumn="0"/>
              <w:rPr>
                <w:sz w:val="18"/>
                <w:szCs w:val="18"/>
              </w:rPr>
            </w:pPr>
            <w:r w:rsidRPr="006E298E">
              <w:rPr>
                <w:sz w:val="18"/>
                <w:szCs w:val="18"/>
              </w:rPr>
              <w:t>&lt;&lt;tervezett / folyamatban / lezárt&gt;&gt;</w:t>
            </w:r>
          </w:p>
        </w:tc>
        <w:tc>
          <w:tcPr>
            <w:tcW w:w="2206" w:type="dxa"/>
          </w:tcPr>
          <w:p w14:paraId="7BA86BAF" w14:textId="0366FFB8" w:rsidR="006E298E" w:rsidRPr="00950C7C" w:rsidRDefault="006E298E" w:rsidP="006E298E">
            <w:pPr>
              <w:cnfStyle w:val="000000000000" w:firstRow="0" w:lastRow="0" w:firstColumn="0" w:lastColumn="0" w:oddVBand="0" w:evenVBand="0" w:oddHBand="0" w:evenHBand="0" w:firstRowFirstColumn="0" w:firstRowLastColumn="0" w:lastRowFirstColumn="0" w:lastRowLastColumn="0"/>
              <w:rPr>
                <w:sz w:val="18"/>
                <w:szCs w:val="18"/>
              </w:rPr>
            </w:pPr>
            <w:r w:rsidRPr="006E298E">
              <w:rPr>
                <w:sz w:val="18"/>
                <w:szCs w:val="18"/>
              </w:rPr>
              <w:t>&lt;&lt;pl. 4.1; 2. melléklet&gt;&gt;</w:t>
            </w:r>
          </w:p>
        </w:tc>
      </w:tr>
      <w:tr w:rsidR="006E298E" w:rsidRPr="00950C7C" w14:paraId="37484EB3" w14:textId="77777777" w:rsidTr="00926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Pr>
          <w:p w14:paraId="1004060F" w14:textId="6A00834E" w:rsidR="006E298E" w:rsidRPr="00950C7C" w:rsidRDefault="006E298E" w:rsidP="006E298E">
            <w:pPr>
              <w:rPr>
                <w:sz w:val="18"/>
                <w:szCs w:val="18"/>
              </w:rPr>
            </w:pPr>
            <w:r w:rsidRPr="006E298E">
              <w:rPr>
                <w:sz w:val="18"/>
                <w:szCs w:val="18"/>
              </w:rPr>
              <w:t>&lt;&lt;KITÖLTENDŐ&gt;&gt;</w:t>
            </w:r>
          </w:p>
        </w:tc>
        <w:tc>
          <w:tcPr>
            <w:tcW w:w="2315" w:type="dxa"/>
          </w:tcPr>
          <w:p w14:paraId="05691D68" w14:textId="719CF5BD" w:rsidR="006E298E" w:rsidRPr="00950C7C" w:rsidRDefault="006E298E" w:rsidP="006E298E">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2214" w:type="dxa"/>
          </w:tcPr>
          <w:p w14:paraId="2C99DBD9" w14:textId="797A6E0C" w:rsidR="006E298E" w:rsidRPr="00950C7C" w:rsidRDefault="006E298E" w:rsidP="006E298E">
            <w:pPr>
              <w:cnfStyle w:val="000000100000" w:firstRow="0" w:lastRow="0" w:firstColumn="0" w:lastColumn="0" w:oddVBand="0" w:evenVBand="0" w:oddHBand="1" w:evenHBand="0" w:firstRowFirstColumn="0" w:firstRowLastColumn="0" w:lastRowFirstColumn="0" w:lastRowLastColumn="0"/>
              <w:rPr>
                <w:sz w:val="18"/>
                <w:szCs w:val="18"/>
              </w:rPr>
            </w:pPr>
            <w:r w:rsidRPr="006E298E">
              <w:rPr>
                <w:sz w:val="18"/>
                <w:szCs w:val="18"/>
              </w:rPr>
              <w:t>&lt;&lt;tervezett / folyamatban / lezárt&gt;&gt;</w:t>
            </w:r>
          </w:p>
        </w:tc>
        <w:tc>
          <w:tcPr>
            <w:tcW w:w="2206" w:type="dxa"/>
          </w:tcPr>
          <w:p w14:paraId="2593EF19" w14:textId="79CD2CB6" w:rsidR="006E298E" w:rsidRPr="00950C7C" w:rsidRDefault="006E298E" w:rsidP="006E298E">
            <w:pPr>
              <w:cnfStyle w:val="000000100000" w:firstRow="0" w:lastRow="0" w:firstColumn="0" w:lastColumn="0" w:oddVBand="0" w:evenVBand="0" w:oddHBand="1" w:evenHBand="0" w:firstRowFirstColumn="0" w:firstRowLastColumn="0" w:lastRowFirstColumn="0" w:lastRowLastColumn="0"/>
              <w:rPr>
                <w:sz w:val="18"/>
                <w:szCs w:val="18"/>
              </w:rPr>
            </w:pPr>
            <w:r w:rsidRPr="006E298E">
              <w:rPr>
                <w:sz w:val="18"/>
                <w:szCs w:val="18"/>
              </w:rPr>
              <w:t>&lt;&lt;pl. 4.1; 2. melléklet&gt;&gt;</w:t>
            </w:r>
          </w:p>
        </w:tc>
      </w:tr>
      <w:tr w:rsidR="006E298E" w:rsidRPr="00950C7C" w14:paraId="238DAB05" w14:textId="77777777" w:rsidTr="0092683F">
        <w:tc>
          <w:tcPr>
            <w:cnfStyle w:val="001000000000" w:firstRow="0" w:lastRow="0" w:firstColumn="1" w:lastColumn="0" w:oddVBand="0" w:evenVBand="0" w:oddHBand="0" w:evenHBand="0" w:firstRowFirstColumn="0" w:firstRowLastColumn="0" w:lastRowFirstColumn="0" w:lastRowLastColumn="0"/>
            <w:tcW w:w="2327" w:type="dxa"/>
          </w:tcPr>
          <w:p w14:paraId="6C0000D7" w14:textId="629836C6" w:rsidR="006E298E" w:rsidRPr="00950C7C" w:rsidRDefault="006E298E" w:rsidP="006E298E">
            <w:pPr>
              <w:rPr>
                <w:sz w:val="18"/>
                <w:szCs w:val="18"/>
              </w:rPr>
            </w:pPr>
            <w:r w:rsidRPr="006E298E">
              <w:rPr>
                <w:sz w:val="18"/>
                <w:szCs w:val="18"/>
              </w:rPr>
              <w:t>&lt;&lt;KITÖLTENDŐ&gt;&gt;</w:t>
            </w:r>
          </w:p>
        </w:tc>
        <w:tc>
          <w:tcPr>
            <w:tcW w:w="2315" w:type="dxa"/>
          </w:tcPr>
          <w:p w14:paraId="572D33D0" w14:textId="5E8F9928" w:rsidR="006E298E" w:rsidRPr="00950C7C" w:rsidRDefault="006E298E" w:rsidP="006E298E">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214" w:type="dxa"/>
          </w:tcPr>
          <w:p w14:paraId="7C298834" w14:textId="2977E780" w:rsidR="006E298E" w:rsidRPr="00950C7C" w:rsidRDefault="006E298E" w:rsidP="006E298E">
            <w:pPr>
              <w:cnfStyle w:val="000000000000" w:firstRow="0" w:lastRow="0" w:firstColumn="0" w:lastColumn="0" w:oddVBand="0" w:evenVBand="0" w:oddHBand="0" w:evenHBand="0" w:firstRowFirstColumn="0" w:firstRowLastColumn="0" w:lastRowFirstColumn="0" w:lastRowLastColumn="0"/>
              <w:rPr>
                <w:sz w:val="18"/>
                <w:szCs w:val="18"/>
              </w:rPr>
            </w:pPr>
            <w:r w:rsidRPr="006E298E">
              <w:rPr>
                <w:sz w:val="18"/>
                <w:szCs w:val="18"/>
              </w:rPr>
              <w:t>&lt;&lt;tervezett / folyamatban / lezárt&gt;&gt;</w:t>
            </w:r>
          </w:p>
        </w:tc>
        <w:tc>
          <w:tcPr>
            <w:tcW w:w="2206" w:type="dxa"/>
          </w:tcPr>
          <w:p w14:paraId="605B2455" w14:textId="22B65823" w:rsidR="006E298E" w:rsidRPr="00950C7C" w:rsidRDefault="006E298E" w:rsidP="006E298E">
            <w:pPr>
              <w:cnfStyle w:val="000000000000" w:firstRow="0" w:lastRow="0" w:firstColumn="0" w:lastColumn="0" w:oddVBand="0" w:evenVBand="0" w:oddHBand="0" w:evenHBand="0" w:firstRowFirstColumn="0" w:firstRowLastColumn="0" w:lastRowFirstColumn="0" w:lastRowLastColumn="0"/>
              <w:rPr>
                <w:sz w:val="18"/>
                <w:szCs w:val="18"/>
              </w:rPr>
            </w:pPr>
            <w:r w:rsidRPr="006E298E">
              <w:rPr>
                <w:sz w:val="18"/>
                <w:szCs w:val="18"/>
              </w:rPr>
              <w:t>&lt;&lt;pl. 4.1; 2. melléklet&gt;&gt;</w:t>
            </w:r>
          </w:p>
        </w:tc>
      </w:tr>
    </w:tbl>
    <w:p w14:paraId="182A9202" w14:textId="77777777" w:rsidR="0092683F" w:rsidRPr="002B0721" w:rsidRDefault="0092683F" w:rsidP="0092683F">
      <w:pPr>
        <w:pStyle w:val="Heading1"/>
      </w:pPr>
      <w:r w:rsidRPr="002B0721">
        <w:t>Eredmények és értékelés a pillérek mentén</w:t>
      </w:r>
    </w:p>
    <w:p w14:paraId="3B8E29F0" w14:textId="77777777" w:rsidR="00593570" w:rsidRDefault="00032A4C">
      <w:pPr>
        <w:pStyle w:val="Infobox"/>
      </w:pPr>
      <w:r>
        <w:t xml:space="preserve">INFOBOX: Ez a fejezet a jelentés fő analitikus része, ezért minden pillér esetében azonos logikát és összehasonlítható szerkezetet kell követnie. Minden pillérnél világosan jelenjen meg a vizsgálat célja, a kulcskérdések, a mutatók, az elemzések, a fő megállapítások és a döntési következmények. Ha valamely területen nincs megfelelő adat, azt is expliciten jelezni kell, rövid indoklással és pótlási javaslattal. A fejezet egészének célja az, hogy a különböző nézőpontokból származó eredmények egy koherens értelmezési keretbe rendeződjenek. </w:t>
      </w:r>
    </w:p>
    <w:p w14:paraId="34301465" w14:textId="734F12B9" w:rsidR="00DA0DBC" w:rsidRDefault="00032A4C">
      <w:pPr>
        <w:pStyle w:val="Infobox"/>
      </w:pPr>
      <w:r>
        <w:t>Kapcsolódó ESG: 1.7 Információkezelés és 1.9 A képzési programok folyamatos figyelemmel kísérése és rendszeres értékelése.</w:t>
      </w:r>
    </w:p>
    <w:p w14:paraId="7C7CAA30" w14:textId="77777777" w:rsidR="0092683F" w:rsidRPr="002B0721" w:rsidRDefault="0092683F" w:rsidP="0092683F">
      <w:pPr>
        <w:pStyle w:val="Heading2"/>
      </w:pPr>
      <w:r w:rsidRPr="002B0721">
        <w:t>1. pillér - Hallgatói elégedettség és tanulási élmény</w:t>
      </w:r>
    </w:p>
    <w:p w14:paraId="05492389" w14:textId="77777777" w:rsidR="00593570" w:rsidRDefault="00032A4C">
      <w:pPr>
        <w:pStyle w:val="Infobox"/>
      </w:pPr>
      <w:r>
        <w:t xml:space="preserve">INFOBOX: Ebben a pillérben azt kell feltárni, hogyan élik meg a hallgatók a képzést, és mely tényezők segítik vagy nehezítik a sikeres előrehaladást. Az elemzés támaszkodjon a nagymintás hallgatói és </w:t>
      </w:r>
      <w:proofErr w:type="spellStart"/>
      <w:r>
        <w:t>alumni</w:t>
      </w:r>
      <w:proofErr w:type="spellEnd"/>
      <w:r>
        <w:t xml:space="preserve"> felmérésekre, hallgatói elégedettségi adatokra, tanulmányi statisztikákra és a kritikus tárgyak vagy tanulási utak azonosítására. Különösen fontos a szegmentáció: nem biztos, hogy ugyanaz a probléma rajzolódik ki a nappali, a levelező, a nemzetközi vagy a munkavégzés mellett tanuló hallgatóknál. A fejezet akkor jó, ha világosan megmutatja, mely hallgatói </w:t>
      </w:r>
      <w:proofErr w:type="spellStart"/>
      <w:r>
        <w:t>élménybeli</w:t>
      </w:r>
      <w:proofErr w:type="spellEnd"/>
      <w:r>
        <w:t xml:space="preserve"> problémák igényelnek gyors intézkedést, és melyek jeleznek mélyebb szerkezeti gondot. </w:t>
      </w:r>
    </w:p>
    <w:p w14:paraId="5599F955" w14:textId="57EB9F3F" w:rsidR="00DA0DBC" w:rsidRDefault="00032A4C">
      <w:pPr>
        <w:pStyle w:val="Infobox"/>
      </w:pPr>
      <w:r>
        <w:t>Kapcsolódó ESG: 1.3 Hallgatóközpontú tanulás, tanítás és értékelés, 1.4 A hallgatók felvétele, előrehaladása, tanulmányaik elismerése és a képesítés odaítélése, 1.6 Tanulástámogatás és hallgatói szolgáltatások, 1.7 Információkezelés, 1.9 A képzési programok folyamatos figyelemmel kísérése és rendszeres értékelése.</w:t>
      </w:r>
    </w:p>
    <w:p w14:paraId="31A1571B" w14:textId="77777777" w:rsidR="0092683F" w:rsidRPr="002B0721" w:rsidRDefault="0092683F" w:rsidP="0092683F">
      <w:pPr>
        <w:pStyle w:val="Heading3"/>
      </w:pPr>
      <w:r w:rsidRPr="002B0721">
        <w:t>A) Cél és kulcskérdések</w:t>
      </w:r>
    </w:p>
    <w:p w14:paraId="4AAE90F9" w14:textId="77777777" w:rsidR="006E298E" w:rsidRDefault="0092683F" w:rsidP="0092683F">
      <w:pPr>
        <w:rPr>
          <w:i/>
          <w:color w:val="005A9C"/>
        </w:rPr>
      </w:pPr>
      <w:r w:rsidRPr="002B0721">
        <w:rPr>
          <w:i/>
          <w:color w:val="005A9C"/>
        </w:rPr>
        <w:t>&lt;&lt;</w:t>
      </w:r>
      <w:proofErr w:type="spellStart"/>
      <w:r w:rsidRPr="002B0721">
        <w:rPr>
          <w:i/>
          <w:color w:val="005A9C"/>
        </w:rPr>
        <w:t>max</w:t>
      </w:r>
      <w:proofErr w:type="spellEnd"/>
      <w:r w:rsidRPr="002B0721">
        <w:rPr>
          <w:i/>
          <w:color w:val="005A9C"/>
        </w:rPr>
        <w:t>. 5 kérdés&gt;&gt;</w:t>
      </w:r>
    </w:p>
    <w:p w14:paraId="1FEF8DCD" w14:textId="3FCEB142" w:rsidR="002B1890" w:rsidRPr="00AC0F51" w:rsidRDefault="002B1890" w:rsidP="002B1890">
      <w:pPr>
        <w:pStyle w:val="ListParagraph"/>
        <w:numPr>
          <w:ilvl w:val="0"/>
          <w:numId w:val="3"/>
        </w:numPr>
        <w:rPr>
          <w:iCs/>
          <w:highlight w:val="yellow"/>
        </w:rPr>
      </w:pPr>
      <w:r w:rsidRPr="00B064BC">
        <w:rPr>
          <w:iCs/>
          <w:highlight w:val="yellow"/>
        </w:rPr>
        <w:t>Mi segít</w:t>
      </w:r>
      <w:r w:rsidR="00657537" w:rsidRPr="00B064BC">
        <w:rPr>
          <w:iCs/>
          <w:highlight w:val="yellow"/>
        </w:rPr>
        <w:t>hetné</w:t>
      </w:r>
      <w:r w:rsidRPr="00B064BC">
        <w:rPr>
          <w:iCs/>
          <w:highlight w:val="yellow"/>
        </w:rPr>
        <w:t xml:space="preserve"> és mi nehezíti </w:t>
      </w:r>
      <w:r w:rsidR="00657537" w:rsidRPr="00B064BC">
        <w:rPr>
          <w:iCs/>
          <w:highlight w:val="yellow"/>
        </w:rPr>
        <w:t xml:space="preserve">jelenleg </w:t>
      </w:r>
      <w:r w:rsidRPr="00B064BC">
        <w:rPr>
          <w:iCs/>
          <w:highlight w:val="yellow"/>
        </w:rPr>
        <w:t>a hallgatói sikeres előrehaladást?</w:t>
      </w:r>
    </w:p>
    <w:p w14:paraId="4B2F6A89" w14:textId="77777777" w:rsidR="002B1890" w:rsidRDefault="002B1890" w:rsidP="00930415">
      <w:pPr>
        <w:pStyle w:val="ListParagraph"/>
        <w:numPr>
          <w:ilvl w:val="0"/>
          <w:numId w:val="3"/>
        </w:numPr>
        <w:rPr>
          <w:iCs/>
          <w:highlight w:val="yellow"/>
        </w:rPr>
      </w:pPr>
      <w:r w:rsidRPr="00B064BC">
        <w:rPr>
          <w:iCs/>
          <w:highlight w:val="yellow"/>
        </w:rPr>
        <w:t xml:space="preserve">Hol vannak a </w:t>
      </w:r>
      <w:r w:rsidRPr="00B064BC">
        <w:rPr>
          <w:b/>
          <w:bCs/>
          <w:iCs/>
          <w:highlight w:val="yellow"/>
        </w:rPr>
        <w:t xml:space="preserve">legnagyobb nehézségi pontok </w:t>
      </w:r>
      <w:r w:rsidRPr="00B064BC">
        <w:rPr>
          <w:iCs/>
          <w:highlight w:val="yellow"/>
        </w:rPr>
        <w:t>(tantárgyak / félévek / tanulási utak)?</w:t>
      </w:r>
    </w:p>
    <w:p w14:paraId="41442E17" w14:textId="77777777" w:rsidR="00BC1105" w:rsidRPr="00B064BC" w:rsidRDefault="00BC1105" w:rsidP="00BC1105">
      <w:pPr>
        <w:pStyle w:val="ListParagraph"/>
        <w:numPr>
          <w:ilvl w:val="0"/>
          <w:numId w:val="3"/>
        </w:numPr>
        <w:rPr>
          <w:iCs/>
          <w:highlight w:val="yellow"/>
        </w:rPr>
      </w:pPr>
      <w:r w:rsidRPr="00B064BC">
        <w:rPr>
          <w:iCs/>
          <w:highlight w:val="yellow"/>
        </w:rPr>
        <w:t xml:space="preserve">Mi a </w:t>
      </w:r>
      <w:r w:rsidRPr="00B064BC">
        <w:rPr>
          <w:b/>
          <w:bCs/>
          <w:iCs/>
          <w:highlight w:val="yellow"/>
        </w:rPr>
        <w:t xml:space="preserve">legnagyobb </w:t>
      </w:r>
      <w:proofErr w:type="spellStart"/>
      <w:r w:rsidRPr="00B064BC">
        <w:rPr>
          <w:b/>
          <w:bCs/>
          <w:iCs/>
          <w:highlight w:val="yellow"/>
        </w:rPr>
        <w:t>Gap</w:t>
      </w:r>
      <w:proofErr w:type="spellEnd"/>
      <w:r w:rsidRPr="00B064BC">
        <w:rPr>
          <w:b/>
          <w:bCs/>
          <w:iCs/>
          <w:highlight w:val="yellow"/>
        </w:rPr>
        <w:t xml:space="preserve">/IPA </w:t>
      </w:r>
      <w:r w:rsidRPr="00B064BC">
        <w:rPr>
          <w:iCs/>
          <w:highlight w:val="yellow"/>
        </w:rPr>
        <w:t>(magas fontosság – alacsony elégedettség)</w:t>
      </w:r>
    </w:p>
    <w:p w14:paraId="6FA9044A" w14:textId="77777777" w:rsidR="00BC1105" w:rsidRPr="00AC0F51" w:rsidRDefault="00BC1105" w:rsidP="00BC1105">
      <w:pPr>
        <w:pStyle w:val="ListParagraph"/>
        <w:numPr>
          <w:ilvl w:val="0"/>
          <w:numId w:val="3"/>
        </w:numPr>
        <w:rPr>
          <w:iCs/>
          <w:highlight w:val="yellow"/>
        </w:rPr>
      </w:pPr>
      <w:r w:rsidRPr="00B064BC">
        <w:rPr>
          <w:iCs/>
          <w:highlight w:val="yellow"/>
        </w:rPr>
        <w:t>Mely tényezők lehetnek az elégedetlenség (rossz NPS érték) okai? (pl.: terhelés, értékelés, visszajelzés, szervezés)</w:t>
      </w:r>
    </w:p>
    <w:p w14:paraId="42168637" w14:textId="77777777" w:rsidR="00BC1105" w:rsidRPr="00AC0F51" w:rsidRDefault="00BC1105" w:rsidP="00BC1105">
      <w:pPr>
        <w:pStyle w:val="ListParagraph"/>
        <w:numPr>
          <w:ilvl w:val="0"/>
          <w:numId w:val="3"/>
        </w:numPr>
        <w:rPr>
          <w:iCs/>
          <w:highlight w:val="yellow"/>
        </w:rPr>
      </w:pPr>
      <w:r w:rsidRPr="00B064BC">
        <w:rPr>
          <w:iCs/>
          <w:highlight w:val="yellow"/>
        </w:rPr>
        <w:t>Mennyire érzik a hallgatók, hogy a képzés felkészíti őket a munkaerőpiacon elvárt készségekre, különös tekintettel a szimulációs eszközök önálló alkalmazására és a csapatmunkára?</w:t>
      </w:r>
    </w:p>
    <w:p w14:paraId="7527C538" w14:textId="77777777" w:rsidR="00BC1105" w:rsidRPr="007906A7" w:rsidRDefault="00BC1105" w:rsidP="00BC1105">
      <w:pPr>
        <w:pStyle w:val="ListParagraph"/>
        <w:numPr>
          <w:ilvl w:val="0"/>
          <w:numId w:val="3"/>
        </w:numPr>
        <w:rPr>
          <w:iCs/>
          <w:highlight w:val="yellow"/>
        </w:rPr>
      </w:pPr>
      <w:r w:rsidRPr="00906D88">
        <w:rPr>
          <w:highlight w:val="yellow"/>
        </w:rPr>
        <w:t>Mennyire egyeznek a belépő hallgatói elvárások a képzés tényleges tapasztalatával az elmélet–gyakorlat arány, a terhelés, a rugalmasság és a tanulástámogatás tekintetében?</w:t>
      </w:r>
    </w:p>
    <w:p w14:paraId="11C5DC00" w14:textId="77777777" w:rsidR="00BC1105" w:rsidRPr="00906D88" w:rsidRDefault="00BC1105" w:rsidP="00BC1105">
      <w:pPr>
        <w:ind w:left="1416"/>
        <w:rPr>
          <w:i/>
          <w:iCs/>
          <w:color w:val="005A9C"/>
          <w:highlight w:val="yellow"/>
        </w:rPr>
      </w:pPr>
      <w:r w:rsidRPr="00906D88">
        <w:rPr>
          <w:i/>
          <w:iCs/>
          <w:highlight w:val="yellow"/>
        </w:rPr>
        <w:t>Fejlesztési cél: a belépési ígéret és a megélt hallgatói élmény összehangolását szolgálja. Támogatja a képzés kommunikációjának, tantervének és szolgáltatásainak korrekcióját.</w:t>
      </w:r>
    </w:p>
    <w:p w14:paraId="6E9599C7" w14:textId="77777777" w:rsidR="00BC1105" w:rsidRPr="007906A7" w:rsidRDefault="00BC1105" w:rsidP="00BC1105">
      <w:pPr>
        <w:pStyle w:val="ListParagraph"/>
        <w:numPr>
          <w:ilvl w:val="0"/>
          <w:numId w:val="3"/>
        </w:numPr>
        <w:rPr>
          <w:iCs/>
          <w:highlight w:val="yellow"/>
        </w:rPr>
      </w:pPr>
      <w:r w:rsidRPr="00906D88">
        <w:rPr>
          <w:highlight w:val="yellow"/>
        </w:rPr>
        <w:t>Mely tanítási és értékelési formák mellett a legmagasabb egyszerre a hallgatói elégedettség és az eredményesség?</w:t>
      </w:r>
    </w:p>
    <w:p w14:paraId="7C3966D1" w14:textId="77777777" w:rsidR="00BC1105" w:rsidRPr="00E76CE9" w:rsidRDefault="00BC1105" w:rsidP="00BC1105">
      <w:pPr>
        <w:ind w:left="1416"/>
        <w:rPr>
          <w:i/>
          <w:iCs/>
          <w:color w:val="005A9C"/>
        </w:rPr>
      </w:pPr>
      <w:r w:rsidRPr="00906D88">
        <w:rPr>
          <w:i/>
          <w:iCs/>
          <w:highlight w:val="yellow"/>
        </w:rPr>
        <w:t>Fejlesztési cél: nemcsak a problémás, hanem a jól működő gyakorlatokat is azonosítja. Alapot ad a bizonyítottan eredményes megoldások programszintű terjesztéséhez.</w:t>
      </w:r>
    </w:p>
    <w:p w14:paraId="060F8657" w14:textId="77777777" w:rsidR="00BC1105" w:rsidRPr="002B0721" w:rsidRDefault="00BC1105" w:rsidP="00BC1105">
      <w:pPr>
        <w:pStyle w:val="ListParagraph"/>
        <w:numPr>
          <w:ilvl w:val="0"/>
          <w:numId w:val="3"/>
        </w:numPr>
      </w:pPr>
      <w:r w:rsidRPr="002B0721">
        <w:t>&lt;&lt;KITÖLTENDŐ&gt;&gt;</w:t>
      </w:r>
    </w:p>
    <w:p w14:paraId="3EC92C73" w14:textId="77777777" w:rsidR="0092683F" w:rsidRPr="002B0721" w:rsidRDefault="0092683F" w:rsidP="00930415">
      <w:pPr>
        <w:pStyle w:val="Heading3"/>
      </w:pPr>
      <w:r w:rsidRPr="002B0721">
        <w:t>B) KPI-</w:t>
      </w:r>
      <w:r w:rsidR="00930415" w:rsidRPr="002B0721">
        <w:t>o</w:t>
      </w:r>
      <w:r w:rsidRPr="002B0721">
        <w:t>k / mutatók</w:t>
      </w:r>
    </w:p>
    <w:p w14:paraId="46BAFB5D" w14:textId="77777777" w:rsidR="0092683F" w:rsidRPr="002B0721" w:rsidRDefault="0092683F" w:rsidP="0092683F">
      <w:r w:rsidRPr="002B0721">
        <w:t>KPI / mutató tábla (trend + benchmark)</w:t>
      </w:r>
    </w:p>
    <w:tbl>
      <w:tblPr>
        <w:tblStyle w:val="GridTable5Dark-Accent1"/>
        <w:tblW w:w="0" w:type="auto"/>
        <w:tblLayout w:type="fixed"/>
        <w:tblLook w:val="04A0" w:firstRow="1" w:lastRow="0" w:firstColumn="1" w:lastColumn="0" w:noHBand="0" w:noVBand="1"/>
      </w:tblPr>
      <w:tblGrid>
        <w:gridCol w:w="1190"/>
        <w:gridCol w:w="1325"/>
        <w:gridCol w:w="1170"/>
        <w:gridCol w:w="810"/>
        <w:gridCol w:w="1300"/>
        <w:gridCol w:w="860"/>
        <w:gridCol w:w="810"/>
        <w:gridCol w:w="1597"/>
      </w:tblGrid>
      <w:tr w:rsidR="009A6CFE" w:rsidRPr="002B0721" w14:paraId="6377345D" w14:textId="77777777" w:rsidTr="009A6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0E49F27C" w14:textId="77777777" w:rsidR="0092683F" w:rsidRPr="002B0721" w:rsidRDefault="0092683F" w:rsidP="00D92C6C">
            <w:pPr>
              <w:rPr>
                <w:sz w:val="18"/>
                <w:szCs w:val="18"/>
              </w:rPr>
            </w:pPr>
            <w:r w:rsidRPr="002B0721">
              <w:rPr>
                <w:sz w:val="18"/>
                <w:szCs w:val="18"/>
              </w:rPr>
              <w:t>Mutató neve</w:t>
            </w:r>
          </w:p>
        </w:tc>
        <w:tc>
          <w:tcPr>
            <w:tcW w:w="1325" w:type="dxa"/>
          </w:tcPr>
          <w:p w14:paraId="45E82E67" w14:textId="77777777" w:rsidR="0092683F" w:rsidRPr="002B0721" w:rsidRDefault="0092683F"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Definíció </w:t>
            </w:r>
          </w:p>
        </w:tc>
        <w:tc>
          <w:tcPr>
            <w:tcW w:w="1170" w:type="dxa"/>
          </w:tcPr>
          <w:p w14:paraId="7748F776" w14:textId="77777777" w:rsidR="0092683F" w:rsidRPr="002B0721" w:rsidRDefault="0092683F"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Adatforrás</w:t>
            </w:r>
          </w:p>
        </w:tc>
        <w:tc>
          <w:tcPr>
            <w:tcW w:w="810" w:type="dxa"/>
          </w:tcPr>
          <w:p w14:paraId="454A6619" w14:textId="77777777" w:rsidR="0092683F" w:rsidRPr="002B0721" w:rsidRDefault="0092683F"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300" w:type="dxa"/>
          </w:tcPr>
          <w:p w14:paraId="523BAD37" w14:textId="77777777" w:rsidR="0092683F" w:rsidRPr="002B0721" w:rsidRDefault="0092683F"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860" w:type="dxa"/>
          </w:tcPr>
          <w:p w14:paraId="5670F28B" w14:textId="77777777" w:rsidR="0092683F" w:rsidRPr="002B0721" w:rsidRDefault="00930415"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Bázisérték</w:t>
            </w:r>
          </w:p>
        </w:tc>
        <w:tc>
          <w:tcPr>
            <w:tcW w:w="810" w:type="dxa"/>
          </w:tcPr>
          <w:p w14:paraId="461596FD" w14:textId="77777777" w:rsidR="0092683F" w:rsidRPr="002B0721" w:rsidRDefault="0092683F"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Célérték</w:t>
            </w:r>
          </w:p>
        </w:tc>
        <w:tc>
          <w:tcPr>
            <w:tcW w:w="1597" w:type="dxa"/>
          </w:tcPr>
          <w:p w14:paraId="454E2F3E" w14:textId="77777777" w:rsidR="0092683F" w:rsidRPr="002B0721" w:rsidRDefault="0092683F"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FD191E" w:rsidRPr="002B0721" w14:paraId="04AF623A" w14:textId="77777777" w:rsidTr="009A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6F20C1A1" w14:textId="7BEF22CF" w:rsidR="00FD191E" w:rsidRPr="00032A4C" w:rsidRDefault="00FD191E" w:rsidP="00FD191E">
            <w:pPr>
              <w:rPr>
                <w:sz w:val="18"/>
                <w:szCs w:val="18"/>
                <w:highlight w:val="yellow"/>
              </w:rPr>
            </w:pPr>
            <w:r w:rsidRPr="00032A4C">
              <w:rPr>
                <w:rStyle w:val="HTMLCode"/>
                <w:rFonts w:ascii="Palatino Linotype" w:eastAsiaTheme="majorEastAsia" w:hAnsi="Palatino Linotype"/>
                <w:sz w:val="18"/>
                <w:szCs w:val="18"/>
                <w:highlight w:val="yellow"/>
              </w:rPr>
              <w:t xml:space="preserve">Hallgatói NPS (Net </w:t>
            </w:r>
            <w:proofErr w:type="spellStart"/>
            <w:r w:rsidRPr="00032A4C">
              <w:rPr>
                <w:rStyle w:val="HTMLCode"/>
                <w:rFonts w:ascii="Palatino Linotype" w:eastAsiaTheme="majorEastAsia" w:hAnsi="Palatino Linotype"/>
                <w:sz w:val="18"/>
                <w:szCs w:val="18"/>
                <w:highlight w:val="yellow"/>
              </w:rPr>
              <w:t>Promoter</w:t>
            </w:r>
            <w:proofErr w:type="spellEnd"/>
            <w:r w:rsidRPr="00032A4C">
              <w:rPr>
                <w:rStyle w:val="HTMLCode"/>
                <w:rFonts w:ascii="Palatino Linotype" w:eastAsiaTheme="majorEastAsia" w:hAnsi="Palatino Linotype"/>
                <w:sz w:val="18"/>
                <w:szCs w:val="18"/>
                <w:highlight w:val="yellow"/>
              </w:rPr>
              <w:t xml:space="preserve"> </w:t>
            </w:r>
            <w:proofErr w:type="spellStart"/>
            <w:r w:rsidRPr="00032A4C">
              <w:rPr>
                <w:rStyle w:val="HTMLCode"/>
                <w:rFonts w:ascii="Palatino Linotype" w:eastAsiaTheme="majorEastAsia" w:hAnsi="Palatino Linotype"/>
                <w:sz w:val="18"/>
                <w:szCs w:val="18"/>
                <w:highlight w:val="yellow"/>
              </w:rPr>
              <w:t>Score</w:t>
            </w:r>
            <w:proofErr w:type="spellEnd"/>
            <w:r w:rsidRPr="00032A4C">
              <w:rPr>
                <w:rStyle w:val="HTMLCode"/>
                <w:rFonts w:ascii="Palatino Linotype" w:eastAsiaTheme="majorEastAsia" w:hAnsi="Palatino Linotype"/>
                <w:sz w:val="18"/>
                <w:szCs w:val="18"/>
                <w:highlight w:val="yellow"/>
              </w:rPr>
              <w:t>)</w:t>
            </w:r>
          </w:p>
        </w:tc>
        <w:tc>
          <w:tcPr>
            <w:tcW w:w="1325" w:type="dxa"/>
          </w:tcPr>
          <w:p w14:paraId="56B12244" w14:textId="3BD6429D" w:rsidR="00FD191E" w:rsidRPr="00032A4C" w:rsidRDefault="00FD191E" w:rsidP="00FD191E">
            <w:pPr>
              <w:cnfStyle w:val="000000100000" w:firstRow="0" w:lastRow="0" w:firstColumn="0" w:lastColumn="0" w:oddVBand="0" w:evenVBand="0" w:oddHBand="1" w:evenHBand="0" w:firstRowFirstColumn="0" w:firstRowLastColumn="0" w:lastRowFirstColumn="0" w:lastRowLastColumn="0"/>
              <w:rPr>
                <w:color w:val="000000" w:themeColor="text1"/>
                <w:sz w:val="18"/>
                <w:szCs w:val="18"/>
                <w:highlight w:val="yellow"/>
              </w:rPr>
            </w:pPr>
            <w:r w:rsidRPr="00032A4C">
              <w:rPr>
                <w:rStyle w:val="HTMLCode"/>
                <w:rFonts w:ascii="Palatino Linotype" w:eastAsiaTheme="majorEastAsia" w:hAnsi="Palatino Linotype"/>
                <w:color w:val="000000" w:themeColor="text1"/>
                <w:sz w:val="18"/>
                <w:szCs w:val="18"/>
                <w:highlight w:val="yellow"/>
              </w:rPr>
              <w:t xml:space="preserve">A „Mennyire ajánlanád a szakot?" kérdésre adott 0–10 skálás válaszok alapján számított </w:t>
            </w:r>
            <w:proofErr w:type="spellStart"/>
            <w:r w:rsidRPr="00032A4C">
              <w:rPr>
                <w:rStyle w:val="HTMLCode"/>
                <w:rFonts w:ascii="Palatino Linotype" w:eastAsiaTheme="majorEastAsia" w:hAnsi="Palatino Linotype"/>
                <w:color w:val="000000" w:themeColor="text1"/>
                <w:sz w:val="18"/>
                <w:szCs w:val="18"/>
                <w:highlight w:val="yellow"/>
              </w:rPr>
              <w:t>promóter</w:t>
            </w:r>
            <w:proofErr w:type="spellEnd"/>
            <w:r w:rsidRPr="00032A4C">
              <w:rPr>
                <w:rStyle w:val="HTMLCode"/>
                <w:rFonts w:ascii="Palatino Linotype" w:eastAsiaTheme="majorEastAsia" w:hAnsi="Palatino Linotype"/>
                <w:color w:val="000000" w:themeColor="text1"/>
                <w:sz w:val="18"/>
                <w:szCs w:val="18"/>
                <w:highlight w:val="yellow"/>
              </w:rPr>
              <w:t>-kritizáló különbség</w:t>
            </w:r>
          </w:p>
        </w:tc>
        <w:tc>
          <w:tcPr>
            <w:tcW w:w="1170" w:type="dxa"/>
          </w:tcPr>
          <w:p w14:paraId="647C7061" w14:textId="53DB5433" w:rsidR="00FD191E" w:rsidRPr="00032A4C" w:rsidRDefault="00FD191E" w:rsidP="00FD191E">
            <w:pPr>
              <w:cnfStyle w:val="000000100000" w:firstRow="0" w:lastRow="0" w:firstColumn="0" w:lastColumn="0" w:oddVBand="0" w:evenVBand="0" w:oddHBand="1" w:evenHBand="0" w:firstRowFirstColumn="0" w:firstRowLastColumn="0" w:lastRowFirstColumn="0" w:lastRowLastColumn="0"/>
              <w:rPr>
                <w:color w:val="000000" w:themeColor="text1"/>
                <w:sz w:val="18"/>
                <w:szCs w:val="18"/>
                <w:highlight w:val="yellow"/>
              </w:rPr>
            </w:pPr>
            <w:r w:rsidRPr="00032A4C">
              <w:rPr>
                <w:rStyle w:val="HTMLCode"/>
                <w:rFonts w:ascii="Palatino Linotype" w:eastAsiaTheme="majorEastAsia" w:hAnsi="Palatino Linotype"/>
                <w:color w:val="000000" w:themeColor="text1"/>
                <w:sz w:val="18"/>
                <w:szCs w:val="18"/>
                <w:highlight w:val="yellow"/>
              </w:rPr>
              <w:t>Nagymintás hallgatói kérdőív</w:t>
            </w:r>
          </w:p>
        </w:tc>
        <w:tc>
          <w:tcPr>
            <w:tcW w:w="810" w:type="dxa"/>
          </w:tcPr>
          <w:p w14:paraId="14F025BD" w14:textId="481EB92C" w:rsidR="00FD191E" w:rsidRPr="00032A4C" w:rsidRDefault="00FD191E" w:rsidP="00FD191E">
            <w:pPr>
              <w:cnfStyle w:val="000000100000" w:firstRow="0" w:lastRow="0" w:firstColumn="0" w:lastColumn="0" w:oddVBand="0" w:evenVBand="0" w:oddHBand="1" w:evenHBand="0" w:firstRowFirstColumn="0" w:firstRowLastColumn="0" w:lastRowFirstColumn="0" w:lastRowLastColumn="0"/>
              <w:rPr>
                <w:color w:val="000000" w:themeColor="text1"/>
                <w:sz w:val="18"/>
                <w:szCs w:val="18"/>
                <w:highlight w:val="yellow"/>
              </w:rPr>
            </w:pPr>
            <w:r w:rsidRPr="00032A4C">
              <w:rPr>
                <w:rStyle w:val="HTMLCode"/>
                <w:rFonts w:ascii="Palatino Linotype" w:eastAsiaTheme="majorEastAsia" w:hAnsi="Palatino Linotype"/>
                <w:color w:val="000000" w:themeColor="text1"/>
                <w:sz w:val="18"/>
                <w:szCs w:val="18"/>
                <w:highlight w:val="yellow"/>
              </w:rPr>
              <w:t>2026</w:t>
            </w:r>
          </w:p>
        </w:tc>
        <w:tc>
          <w:tcPr>
            <w:tcW w:w="1300" w:type="dxa"/>
          </w:tcPr>
          <w:p w14:paraId="5BE477BC" w14:textId="23546683" w:rsidR="00FD191E" w:rsidRPr="00032A4C" w:rsidRDefault="00FD191E" w:rsidP="00FD191E">
            <w:pPr>
              <w:cnfStyle w:val="000000100000" w:firstRow="0" w:lastRow="0" w:firstColumn="0" w:lastColumn="0" w:oddVBand="0" w:evenVBand="0" w:oddHBand="1" w:evenHBand="0" w:firstRowFirstColumn="0" w:firstRowLastColumn="0" w:lastRowFirstColumn="0" w:lastRowLastColumn="0"/>
              <w:rPr>
                <w:color w:val="000000" w:themeColor="text1"/>
                <w:sz w:val="18"/>
                <w:szCs w:val="18"/>
                <w:highlight w:val="yellow"/>
              </w:rPr>
            </w:pPr>
            <w:r w:rsidRPr="00032A4C">
              <w:rPr>
                <w:rStyle w:val="HTMLCode"/>
                <w:rFonts w:ascii="Palatino Linotype" w:eastAsiaTheme="majorEastAsia" w:hAnsi="Palatino Linotype"/>
                <w:color w:val="000000" w:themeColor="text1"/>
                <w:sz w:val="18"/>
                <w:szCs w:val="18"/>
                <w:highlight w:val="yellow"/>
              </w:rPr>
              <w:t>Végzett és aktív hallgatók; Kar; Szak; Képzési szint</w:t>
            </w:r>
          </w:p>
        </w:tc>
        <w:tc>
          <w:tcPr>
            <w:tcW w:w="860" w:type="dxa"/>
          </w:tcPr>
          <w:p w14:paraId="66D24A5A" w14:textId="05C6CCE4" w:rsidR="00FD191E" w:rsidRPr="00032A4C" w:rsidRDefault="00FD191E" w:rsidP="00FD191E">
            <w:pPr>
              <w:cnfStyle w:val="000000100000" w:firstRow="0" w:lastRow="0" w:firstColumn="0" w:lastColumn="0" w:oddVBand="0" w:evenVBand="0" w:oddHBand="1" w:evenHBand="0" w:firstRowFirstColumn="0" w:firstRowLastColumn="0" w:lastRowFirstColumn="0" w:lastRowLastColumn="0"/>
              <w:rPr>
                <w:color w:val="000000" w:themeColor="text1"/>
                <w:sz w:val="18"/>
                <w:szCs w:val="18"/>
                <w:highlight w:val="yellow"/>
              </w:rPr>
            </w:pPr>
            <w:r w:rsidRPr="00032A4C">
              <w:rPr>
                <w:sz w:val="18"/>
                <w:szCs w:val="18"/>
                <w:highlight w:val="yellow"/>
              </w:rPr>
              <w:t>&lt;&lt;KITÖLTENDŐ&gt;&gt;</w:t>
            </w:r>
          </w:p>
        </w:tc>
        <w:tc>
          <w:tcPr>
            <w:tcW w:w="810" w:type="dxa"/>
          </w:tcPr>
          <w:p w14:paraId="2C7B3D7B" w14:textId="703E6598" w:rsidR="00FD191E" w:rsidRPr="00032A4C" w:rsidRDefault="00FD191E" w:rsidP="00FD191E">
            <w:pPr>
              <w:cnfStyle w:val="000000100000" w:firstRow="0" w:lastRow="0" w:firstColumn="0" w:lastColumn="0" w:oddVBand="0" w:evenVBand="0" w:oddHBand="1" w:evenHBand="0" w:firstRowFirstColumn="0" w:firstRowLastColumn="0" w:lastRowFirstColumn="0" w:lastRowLastColumn="0"/>
              <w:rPr>
                <w:color w:val="000000" w:themeColor="text1"/>
                <w:sz w:val="18"/>
                <w:szCs w:val="18"/>
                <w:highlight w:val="yellow"/>
              </w:rPr>
            </w:pPr>
            <w:r w:rsidRPr="00032A4C">
              <w:rPr>
                <w:sz w:val="18"/>
                <w:szCs w:val="18"/>
                <w:highlight w:val="yellow"/>
              </w:rPr>
              <w:t>&lt;&lt;KITÖLTENDŐ&gt;&gt;</w:t>
            </w:r>
          </w:p>
        </w:tc>
        <w:tc>
          <w:tcPr>
            <w:tcW w:w="1597" w:type="dxa"/>
          </w:tcPr>
          <w:p w14:paraId="0EF268E9" w14:textId="3A0210B8" w:rsidR="00FD191E" w:rsidRPr="00032A4C" w:rsidRDefault="00FD191E" w:rsidP="00FD191E">
            <w:pPr>
              <w:cnfStyle w:val="000000100000" w:firstRow="0" w:lastRow="0" w:firstColumn="0" w:lastColumn="0" w:oddVBand="0" w:evenVBand="0" w:oddHBand="1" w:evenHBand="0" w:firstRowFirstColumn="0" w:firstRowLastColumn="0" w:lastRowFirstColumn="0" w:lastRowLastColumn="0"/>
              <w:rPr>
                <w:color w:val="000000" w:themeColor="text1"/>
                <w:sz w:val="18"/>
                <w:szCs w:val="18"/>
                <w:highlight w:val="yellow"/>
              </w:rPr>
            </w:pPr>
          </w:p>
        </w:tc>
      </w:tr>
      <w:tr w:rsidR="00FD191E" w:rsidRPr="002B0721" w14:paraId="55BC5DB1" w14:textId="77777777" w:rsidTr="009A6CFE">
        <w:tc>
          <w:tcPr>
            <w:cnfStyle w:val="001000000000" w:firstRow="0" w:lastRow="0" w:firstColumn="1" w:lastColumn="0" w:oddVBand="0" w:evenVBand="0" w:oddHBand="0" w:evenHBand="0" w:firstRowFirstColumn="0" w:firstRowLastColumn="0" w:lastRowFirstColumn="0" w:lastRowLastColumn="0"/>
            <w:tcW w:w="1190" w:type="dxa"/>
          </w:tcPr>
          <w:p w14:paraId="1B7D863C" w14:textId="40978D23" w:rsidR="00FD191E" w:rsidRPr="00032A4C" w:rsidRDefault="00FD191E" w:rsidP="00FD191E">
            <w:pPr>
              <w:rPr>
                <w:sz w:val="18"/>
                <w:szCs w:val="18"/>
                <w:highlight w:val="yellow"/>
              </w:rPr>
            </w:pPr>
            <w:r w:rsidRPr="00032A4C">
              <w:rPr>
                <w:rStyle w:val="HTMLCode"/>
                <w:rFonts w:ascii="Palatino Linotype" w:eastAsiaTheme="majorEastAsia" w:hAnsi="Palatino Linotype"/>
                <w:sz w:val="18"/>
                <w:szCs w:val="18"/>
                <w:highlight w:val="yellow"/>
              </w:rPr>
              <w:t>Munkaerőpiaci készségekhez való alkalmazkodási arány</w:t>
            </w:r>
          </w:p>
        </w:tc>
        <w:tc>
          <w:tcPr>
            <w:tcW w:w="1325" w:type="dxa"/>
          </w:tcPr>
          <w:p w14:paraId="39936E55" w14:textId="5C914D79" w:rsidR="00FD191E" w:rsidRPr="00032A4C" w:rsidRDefault="00FD191E" w:rsidP="00FD191E">
            <w:pPr>
              <w:cnfStyle w:val="000000000000" w:firstRow="0" w:lastRow="0" w:firstColumn="0" w:lastColumn="0" w:oddVBand="0" w:evenVBand="0" w:oddHBand="0" w:evenHBand="0" w:firstRowFirstColumn="0" w:firstRowLastColumn="0" w:lastRowFirstColumn="0" w:lastRowLastColumn="0"/>
              <w:rPr>
                <w:color w:val="000000" w:themeColor="text1"/>
                <w:sz w:val="18"/>
                <w:szCs w:val="18"/>
                <w:highlight w:val="yellow"/>
              </w:rPr>
            </w:pPr>
            <w:r w:rsidRPr="00032A4C">
              <w:rPr>
                <w:sz w:val="18"/>
                <w:szCs w:val="18"/>
                <w:highlight w:val="yellow"/>
              </w:rPr>
              <w:t>A „Mennyire érzed úgy, hogy a képzés felkészít az alábbi, munkaerőpiacon elvárt készségekre?” kérdés alkérdéseire kapott arányok átlaga</w:t>
            </w:r>
          </w:p>
        </w:tc>
        <w:tc>
          <w:tcPr>
            <w:tcW w:w="1170" w:type="dxa"/>
          </w:tcPr>
          <w:p w14:paraId="67FC981B" w14:textId="5051DB8C" w:rsidR="00FD191E" w:rsidRPr="00032A4C" w:rsidRDefault="00FD191E" w:rsidP="00FD191E">
            <w:pPr>
              <w:cnfStyle w:val="000000000000" w:firstRow="0" w:lastRow="0" w:firstColumn="0" w:lastColumn="0" w:oddVBand="0" w:evenVBand="0" w:oddHBand="0" w:evenHBand="0" w:firstRowFirstColumn="0" w:firstRowLastColumn="0" w:lastRowFirstColumn="0" w:lastRowLastColumn="0"/>
              <w:rPr>
                <w:color w:val="000000" w:themeColor="text1"/>
                <w:sz w:val="18"/>
                <w:szCs w:val="18"/>
                <w:highlight w:val="yellow"/>
              </w:rPr>
            </w:pPr>
            <w:r w:rsidRPr="00032A4C">
              <w:rPr>
                <w:rStyle w:val="HTMLCode"/>
                <w:rFonts w:ascii="Palatino Linotype" w:eastAsiaTheme="majorEastAsia" w:hAnsi="Palatino Linotype"/>
                <w:color w:val="000000" w:themeColor="text1"/>
                <w:sz w:val="18"/>
                <w:szCs w:val="18"/>
                <w:highlight w:val="yellow"/>
              </w:rPr>
              <w:t>Nagymintás hallgatói kérdőív</w:t>
            </w:r>
          </w:p>
        </w:tc>
        <w:tc>
          <w:tcPr>
            <w:tcW w:w="810" w:type="dxa"/>
          </w:tcPr>
          <w:p w14:paraId="60642CDB" w14:textId="2365CDEF" w:rsidR="00FD191E" w:rsidRPr="00032A4C" w:rsidRDefault="00FD191E" w:rsidP="00FD191E">
            <w:pPr>
              <w:cnfStyle w:val="000000000000" w:firstRow="0" w:lastRow="0" w:firstColumn="0" w:lastColumn="0" w:oddVBand="0" w:evenVBand="0" w:oddHBand="0" w:evenHBand="0" w:firstRowFirstColumn="0" w:firstRowLastColumn="0" w:lastRowFirstColumn="0" w:lastRowLastColumn="0"/>
              <w:rPr>
                <w:color w:val="000000" w:themeColor="text1"/>
                <w:sz w:val="18"/>
                <w:szCs w:val="18"/>
                <w:highlight w:val="yellow"/>
              </w:rPr>
            </w:pPr>
            <w:r w:rsidRPr="00032A4C">
              <w:rPr>
                <w:rStyle w:val="HTMLCode"/>
                <w:rFonts w:ascii="Palatino Linotype" w:eastAsiaTheme="majorEastAsia" w:hAnsi="Palatino Linotype"/>
                <w:color w:val="000000" w:themeColor="text1"/>
                <w:sz w:val="18"/>
                <w:szCs w:val="18"/>
                <w:highlight w:val="yellow"/>
              </w:rPr>
              <w:t>2026</w:t>
            </w:r>
          </w:p>
        </w:tc>
        <w:tc>
          <w:tcPr>
            <w:tcW w:w="1300" w:type="dxa"/>
          </w:tcPr>
          <w:p w14:paraId="7E19C0B8" w14:textId="17E48A23" w:rsidR="00FD191E" w:rsidRPr="00032A4C" w:rsidRDefault="00FD191E" w:rsidP="00FD191E">
            <w:pPr>
              <w:cnfStyle w:val="000000000000" w:firstRow="0" w:lastRow="0" w:firstColumn="0" w:lastColumn="0" w:oddVBand="0" w:evenVBand="0" w:oddHBand="0" w:evenHBand="0" w:firstRowFirstColumn="0" w:firstRowLastColumn="0" w:lastRowFirstColumn="0" w:lastRowLastColumn="0"/>
              <w:rPr>
                <w:color w:val="000000" w:themeColor="text1"/>
                <w:sz w:val="18"/>
                <w:szCs w:val="18"/>
                <w:highlight w:val="yellow"/>
              </w:rPr>
            </w:pPr>
            <w:r w:rsidRPr="00032A4C">
              <w:rPr>
                <w:rStyle w:val="HTMLCode"/>
                <w:rFonts w:ascii="Palatino Linotype" w:eastAsiaTheme="majorEastAsia" w:hAnsi="Palatino Linotype"/>
                <w:color w:val="000000" w:themeColor="text1"/>
                <w:sz w:val="18"/>
                <w:szCs w:val="18"/>
                <w:highlight w:val="yellow"/>
              </w:rPr>
              <w:t>Szak; Kar; Képzési szint; aktív félévek száma</w:t>
            </w:r>
          </w:p>
        </w:tc>
        <w:tc>
          <w:tcPr>
            <w:tcW w:w="860" w:type="dxa"/>
          </w:tcPr>
          <w:p w14:paraId="3D035A04" w14:textId="1E2DC6CD" w:rsidR="00FD191E" w:rsidRPr="00032A4C" w:rsidRDefault="00FD191E" w:rsidP="00FD191E">
            <w:pPr>
              <w:cnfStyle w:val="000000000000" w:firstRow="0" w:lastRow="0" w:firstColumn="0" w:lastColumn="0" w:oddVBand="0" w:evenVBand="0" w:oddHBand="0" w:evenHBand="0" w:firstRowFirstColumn="0" w:firstRowLastColumn="0" w:lastRowFirstColumn="0" w:lastRowLastColumn="0"/>
              <w:rPr>
                <w:color w:val="000000" w:themeColor="text1"/>
                <w:sz w:val="18"/>
                <w:szCs w:val="18"/>
                <w:highlight w:val="yellow"/>
              </w:rPr>
            </w:pPr>
            <w:r w:rsidRPr="00032A4C">
              <w:rPr>
                <w:sz w:val="18"/>
                <w:szCs w:val="18"/>
                <w:highlight w:val="yellow"/>
              </w:rPr>
              <w:t>&lt;&lt;KITÖLTENDŐ&gt;&gt;</w:t>
            </w:r>
          </w:p>
        </w:tc>
        <w:tc>
          <w:tcPr>
            <w:tcW w:w="810" w:type="dxa"/>
          </w:tcPr>
          <w:p w14:paraId="44A11901" w14:textId="25E8AF11" w:rsidR="00FD191E" w:rsidRPr="00032A4C" w:rsidRDefault="00FD191E" w:rsidP="00FD191E">
            <w:pPr>
              <w:cnfStyle w:val="000000000000" w:firstRow="0" w:lastRow="0" w:firstColumn="0" w:lastColumn="0" w:oddVBand="0" w:evenVBand="0" w:oddHBand="0" w:evenHBand="0" w:firstRowFirstColumn="0" w:firstRowLastColumn="0" w:lastRowFirstColumn="0" w:lastRowLastColumn="0"/>
              <w:rPr>
                <w:color w:val="000000" w:themeColor="text1"/>
                <w:sz w:val="18"/>
                <w:szCs w:val="18"/>
                <w:highlight w:val="yellow"/>
              </w:rPr>
            </w:pPr>
            <w:r w:rsidRPr="00032A4C">
              <w:rPr>
                <w:sz w:val="18"/>
                <w:szCs w:val="18"/>
                <w:highlight w:val="yellow"/>
              </w:rPr>
              <w:t>&lt;&lt;KITÖLTENDŐ&gt;&gt;</w:t>
            </w:r>
          </w:p>
        </w:tc>
        <w:tc>
          <w:tcPr>
            <w:tcW w:w="1597" w:type="dxa"/>
          </w:tcPr>
          <w:p w14:paraId="73491520" w14:textId="7C48351D" w:rsidR="00FD191E" w:rsidRPr="00032A4C" w:rsidRDefault="00FD191E" w:rsidP="00FD191E">
            <w:pPr>
              <w:cnfStyle w:val="000000000000" w:firstRow="0" w:lastRow="0" w:firstColumn="0" w:lastColumn="0" w:oddVBand="0" w:evenVBand="0" w:oddHBand="0" w:evenHBand="0" w:firstRowFirstColumn="0" w:firstRowLastColumn="0" w:lastRowFirstColumn="0" w:lastRowLastColumn="0"/>
              <w:rPr>
                <w:color w:val="000000" w:themeColor="text1"/>
                <w:sz w:val="18"/>
                <w:szCs w:val="18"/>
                <w:highlight w:val="yellow"/>
              </w:rPr>
            </w:pPr>
          </w:p>
        </w:tc>
      </w:tr>
      <w:tr w:rsidR="00AC0F51" w:rsidRPr="002B0721" w14:paraId="38C6E5F5" w14:textId="77777777" w:rsidTr="009A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0217EA6B" w14:textId="77777777" w:rsidR="000E3AA9" w:rsidRPr="00032A4C" w:rsidRDefault="00032A4C">
            <w:pPr>
              <w:rPr>
                <w:sz w:val="18"/>
                <w:szCs w:val="18"/>
                <w:highlight w:val="yellow"/>
              </w:rPr>
            </w:pPr>
            <w:r w:rsidRPr="00032A4C">
              <w:rPr>
                <w:sz w:val="18"/>
                <w:szCs w:val="18"/>
                <w:highlight w:val="yellow"/>
              </w:rPr>
              <w:t>Ütemes haladás (kreditelőrehaladás)</w:t>
            </w:r>
          </w:p>
        </w:tc>
        <w:tc>
          <w:tcPr>
            <w:tcW w:w="1325" w:type="dxa"/>
          </w:tcPr>
          <w:p w14:paraId="6A88A9AA"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 adott félévben aktív, legalább 28 teljesített kredittel rendelkező hallgatók aránya.</w:t>
            </w:r>
          </w:p>
        </w:tc>
        <w:tc>
          <w:tcPr>
            <w:tcW w:w="1170" w:type="dxa"/>
          </w:tcPr>
          <w:p w14:paraId="17E1D1B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OMHV eredmények / részletes eredményességi adatok</w:t>
            </w:r>
          </w:p>
        </w:tc>
        <w:tc>
          <w:tcPr>
            <w:tcW w:w="810" w:type="dxa"/>
          </w:tcPr>
          <w:p w14:paraId="4D36A2EF"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2023–2025</w:t>
            </w:r>
          </w:p>
        </w:tc>
        <w:tc>
          <w:tcPr>
            <w:tcW w:w="1300" w:type="dxa"/>
          </w:tcPr>
          <w:p w14:paraId="44157BAC"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Szak; Kar; aktív félévek száma</w:t>
            </w:r>
          </w:p>
        </w:tc>
        <w:tc>
          <w:tcPr>
            <w:tcW w:w="860" w:type="dxa"/>
          </w:tcPr>
          <w:p w14:paraId="07364EF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0" w:type="dxa"/>
          </w:tcPr>
          <w:p w14:paraId="497F9578"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597" w:type="dxa"/>
          </w:tcPr>
          <w:p w14:paraId="3E960A97"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hallgatói élménnyel együtt értelmezendő, nem önmagában</w:t>
            </w:r>
          </w:p>
        </w:tc>
      </w:tr>
      <w:tr w:rsidR="00AC0F51" w:rsidRPr="002B0721" w14:paraId="0ADBA78F" w14:textId="77777777" w:rsidTr="009A6CFE">
        <w:tc>
          <w:tcPr>
            <w:cnfStyle w:val="001000000000" w:firstRow="0" w:lastRow="0" w:firstColumn="1" w:lastColumn="0" w:oddVBand="0" w:evenVBand="0" w:oddHBand="0" w:evenHBand="0" w:firstRowFirstColumn="0" w:firstRowLastColumn="0" w:lastRowFirstColumn="0" w:lastRowLastColumn="0"/>
            <w:tcW w:w="1190" w:type="dxa"/>
          </w:tcPr>
          <w:p w14:paraId="1D210F36" w14:textId="77777777" w:rsidR="000E3AA9" w:rsidRPr="00032A4C" w:rsidRDefault="00032A4C">
            <w:pPr>
              <w:rPr>
                <w:sz w:val="18"/>
                <w:szCs w:val="18"/>
                <w:highlight w:val="yellow"/>
              </w:rPr>
            </w:pPr>
            <w:r w:rsidRPr="00032A4C">
              <w:rPr>
                <w:sz w:val="18"/>
                <w:szCs w:val="18"/>
                <w:highlight w:val="yellow"/>
              </w:rPr>
              <w:t>Kritikus tantárgyak aránya / sikerességi arány</w:t>
            </w:r>
          </w:p>
        </w:tc>
        <w:tc>
          <w:tcPr>
            <w:tcW w:w="1325" w:type="dxa"/>
          </w:tcPr>
          <w:p w14:paraId="1851419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mintatanterv szerint kötelező vagy kötelezően választható tantárgyak aránya, amelyek sikeressége nem éri el a 70%-ot az adott félévben.</w:t>
            </w:r>
          </w:p>
        </w:tc>
        <w:tc>
          <w:tcPr>
            <w:tcW w:w="1170" w:type="dxa"/>
          </w:tcPr>
          <w:p w14:paraId="004F0A51"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OMHV eredmények / részletes eredményességi adatok</w:t>
            </w:r>
          </w:p>
        </w:tc>
        <w:tc>
          <w:tcPr>
            <w:tcW w:w="810" w:type="dxa"/>
          </w:tcPr>
          <w:p w14:paraId="734B7693"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2023–2025</w:t>
            </w:r>
          </w:p>
        </w:tc>
        <w:tc>
          <w:tcPr>
            <w:tcW w:w="1300" w:type="dxa"/>
          </w:tcPr>
          <w:p w14:paraId="3110EB9A"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Félév; tantárgy; kurzustípus</w:t>
            </w:r>
          </w:p>
        </w:tc>
        <w:tc>
          <w:tcPr>
            <w:tcW w:w="860" w:type="dxa"/>
          </w:tcPr>
          <w:p w14:paraId="712B4118"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0" w:type="dxa"/>
          </w:tcPr>
          <w:p w14:paraId="236D20D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597" w:type="dxa"/>
          </w:tcPr>
          <w:p w14:paraId="2C92B4E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torlódási pontok azonosítására</w:t>
            </w:r>
          </w:p>
        </w:tc>
      </w:tr>
      <w:tr w:rsidR="00AC0F51" w:rsidRPr="002B0721" w14:paraId="25DAE8CC" w14:textId="77777777" w:rsidTr="009A6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1332A3A4" w14:textId="77777777" w:rsidR="000E3AA9" w:rsidRPr="00032A4C" w:rsidRDefault="00032A4C">
            <w:pPr>
              <w:rPr>
                <w:sz w:val="18"/>
                <w:szCs w:val="18"/>
                <w:highlight w:val="yellow"/>
              </w:rPr>
            </w:pPr>
            <w:r w:rsidRPr="00032A4C">
              <w:rPr>
                <w:sz w:val="18"/>
                <w:szCs w:val="18"/>
                <w:highlight w:val="yellow"/>
              </w:rPr>
              <w:t>Korai lemorzsolódás</w:t>
            </w:r>
          </w:p>
        </w:tc>
        <w:tc>
          <w:tcPr>
            <w:tcW w:w="1325" w:type="dxa"/>
          </w:tcPr>
          <w:p w14:paraId="18BC740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BSc esetén az első 4, MSc esetén az első 2, osztatlan képzésnél az első 6 aktív félévben lemorzsolódó hallgatók aránya.</w:t>
            </w:r>
          </w:p>
        </w:tc>
        <w:tc>
          <w:tcPr>
            <w:tcW w:w="1170" w:type="dxa"/>
          </w:tcPr>
          <w:p w14:paraId="10BB8217"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Létszámtrendek</w:t>
            </w:r>
          </w:p>
        </w:tc>
        <w:tc>
          <w:tcPr>
            <w:tcW w:w="810" w:type="dxa"/>
          </w:tcPr>
          <w:p w14:paraId="047A6E85"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2020–2025</w:t>
            </w:r>
          </w:p>
        </w:tc>
        <w:tc>
          <w:tcPr>
            <w:tcW w:w="1300" w:type="dxa"/>
          </w:tcPr>
          <w:p w14:paraId="67EEA6B3"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Szak; Kar; képzési szint</w:t>
            </w:r>
          </w:p>
        </w:tc>
        <w:tc>
          <w:tcPr>
            <w:tcW w:w="860" w:type="dxa"/>
          </w:tcPr>
          <w:p w14:paraId="497E1EAF"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0" w:type="dxa"/>
          </w:tcPr>
          <w:p w14:paraId="066BEA82"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597" w:type="dxa"/>
          </w:tcPr>
          <w:p w14:paraId="751022EA"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 előrehaladási nehézségek korai jelzője</w:t>
            </w:r>
          </w:p>
        </w:tc>
      </w:tr>
      <w:tr w:rsidR="000E3AA9" w14:paraId="7D72364D" w14:textId="77777777" w:rsidTr="000E3AA9">
        <w:tc>
          <w:tcPr>
            <w:cnfStyle w:val="001000000000" w:firstRow="0" w:lastRow="0" w:firstColumn="1" w:lastColumn="0" w:oddVBand="0" w:evenVBand="0" w:oddHBand="0" w:evenHBand="0" w:firstRowFirstColumn="0" w:firstRowLastColumn="0" w:lastRowFirstColumn="0" w:lastRowLastColumn="0"/>
            <w:tcW w:w="1190" w:type="dxa"/>
          </w:tcPr>
          <w:p w14:paraId="071852DD" w14:textId="77777777" w:rsidR="000E3AA9" w:rsidRPr="00032A4C" w:rsidRDefault="00032A4C">
            <w:pPr>
              <w:rPr>
                <w:sz w:val="18"/>
                <w:szCs w:val="18"/>
                <w:highlight w:val="yellow"/>
              </w:rPr>
            </w:pPr>
            <w:r w:rsidRPr="00032A4C">
              <w:rPr>
                <w:sz w:val="18"/>
                <w:szCs w:val="18"/>
                <w:highlight w:val="yellow"/>
              </w:rPr>
              <w:t>Csúcsterhelési elégedettségi arány</w:t>
            </w:r>
          </w:p>
        </w:tc>
        <w:tc>
          <w:tcPr>
            <w:tcW w:w="1325" w:type="dxa"/>
          </w:tcPr>
          <w:p w14:paraId="4B2F9278"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hallgatók aránya, akik a heti kontaktóraszámot és összterhelést kezelhetőnek vagy megfelelőnek ítélik.</w:t>
            </w:r>
          </w:p>
        </w:tc>
        <w:tc>
          <w:tcPr>
            <w:tcW w:w="1170" w:type="dxa"/>
          </w:tcPr>
          <w:p w14:paraId="7B12E98B"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Nagymintás hallgatói elégedettségmérés</w:t>
            </w:r>
          </w:p>
        </w:tc>
        <w:tc>
          <w:tcPr>
            <w:tcW w:w="810" w:type="dxa"/>
          </w:tcPr>
          <w:p w14:paraId="1F96858A"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2026</w:t>
            </w:r>
          </w:p>
        </w:tc>
        <w:tc>
          <w:tcPr>
            <w:tcW w:w="1300" w:type="dxa"/>
          </w:tcPr>
          <w:p w14:paraId="6C8DC557"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Szak; Kar; képzési szint; aktív félévek száma</w:t>
            </w:r>
          </w:p>
        </w:tc>
        <w:tc>
          <w:tcPr>
            <w:tcW w:w="860" w:type="dxa"/>
          </w:tcPr>
          <w:p w14:paraId="15D87C04"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0" w:type="dxa"/>
          </w:tcPr>
          <w:p w14:paraId="2D1A5E07"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597" w:type="dxa"/>
          </w:tcPr>
          <w:p w14:paraId="6795EB5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túlterhelés és a tanulhatóság összekapcsolására</w:t>
            </w:r>
          </w:p>
        </w:tc>
      </w:tr>
      <w:tr w:rsidR="000E3AA9" w14:paraId="27AB1153" w14:textId="77777777" w:rsidTr="000E3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219A360A" w14:textId="77777777" w:rsidR="000E3AA9" w:rsidRPr="00032A4C" w:rsidRDefault="00032A4C">
            <w:pPr>
              <w:rPr>
                <w:sz w:val="18"/>
                <w:szCs w:val="18"/>
                <w:highlight w:val="yellow"/>
              </w:rPr>
            </w:pPr>
            <w:r w:rsidRPr="00032A4C">
              <w:rPr>
                <w:sz w:val="18"/>
                <w:szCs w:val="18"/>
                <w:highlight w:val="yellow"/>
              </w:rPr>
              <w:t>Előfeltételi rend koherenciaindex</w:t>
            </w:r>
          </w:p>
        </w:tc>
        <w:tc>
          <w:tcPr>
            <w:tcW w:w="1325" w:type="dxa"/>
          </w:tcPr>
          <w:p w14:paraId="3417E018" w14:textId="14B07794"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 xml:space="preserve">Az </w:t>
            </w:r>
            <w:r w:rsidR="00E76CE9" w:rsidRPr="00032A4C">
              <w:rPr>
                <w:sz w:val="18"/>
                <w:szCs w:val="18"/>
                <w:highlight w:val="yellow"/>
              </w:rPr>
              <w:t xml:space="preserve">előtanulmányi </w:t>
            </w:r>
            <w:r w:rsidRPr="00032A4C">
              <w:rPr>
                <w:sz w:val="18"/>
                <w:szCs w:val="18"/>
                <w:highlight w:val="yellow"/>
              </w:rPr>
              <w:t>rend, a tantárgyi egymásra épülés és a tantervi logika megítélésére vonatkozó releváns kérdések összetett mutatója.</w:t>
            </w:r>
          </w:p>
        </w:tc>
        <w:tc>
          <w:tcPr>
            <w:tcW w:w="1170" w:type="dxa"/>
          </w:tcPr>
          <w:p w14:paraId="12FCD6F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Nagymintás hallgatói elégedettségmérés; alumni kérdőív</w:t>
            </w:r>
          </w:p>
        </w:tc>
        <w:tc>
          <w:tcPr>
            <w:tcW w:w="810" w:type="dxa"/>
          </w:tcPr>
          <w:p w14:paraId="08D021FF"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2026</w:t>
            </w:r>
          </w:p>
        </w:tc>
        <w:tc>
          <w:tcPr>
            <w:tcW w:w="1300" w:type="dxa"/>
          </w:tcPr>
          <w:p w14:paraId="33B4D9B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Aktív / végzett; szak; képzési szint</w:t>
            </w:r>
          </w:p>
        </w:tc>
        <w:tc>
          <w:tcPr>
            <w:tcW w:w="860" w:type="dxa"/>
          </w:tcPr>
          <w:p w14:paraId="3C108C5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0" w:type="dxa"/>
          </w:tcPr>
          <w:p w14:paraId="61E56137"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597" w:type="dxa"/>
          </w:tcPr>
          <w:p w14:paraId="37CF52DF"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 előrehaladási akadályok okainak feltárására</w:t>
            </w:r>
          </w:p>
        </w:tc>
      </w:tr>
      <w:tr w:rsidR="000E3AA9" w14:paraId="6A363497" w14:textId="77777777" w:rsidTr="000E3AA9">
        <w:tc>
          <w:tcPr>
            <w:cnfStyle w:val="001000000000" w:firstRow="0" w:lastRow="0" w:firstColumn="1" w:lastColumn="0" w:oddVBand="0" w:evenVBand="0" w:oddHBand="0" w:evenHBand="0" w:firstRowFirstColumn="0" w:firstRowLastColumn="0" w:lastRowFirstColumn="0" w:lastRowLastColumn="0"/>
            <w:tcW w:w="1190" w:type="dxa"/>
          </w:tcPr>
          <w:p w14:paraId="68C46E99" w14:textId="77777777" w:rsidR="000E3AA9" w:rsidRPr="00032A4C" w:rsidRDefault="00032A4C">
            <w:pPr>
              <w:rPr>
                <w:sz w:val="18"/>
                <w:szCs w:val="18"/>
                <w:highlight w:val="yellow"/>
              </w:rPr>
            </w:pPr>
            <w:r w:rsidRPr="00032A4C">
              <w:rPr>
                <w:sz w:val="18"/>
                <w:szCs w:val="18"/>
                <w:highlight w:val="yellow"/>
              </w:rPr>
              <w:t>Tananyag-ismétlés érzékelt aránya</w:t>
            </w:r>
          </w:p>
        </w:tc>
        <w:tc>
          <w:tcPr>
            <w:tcW w:w="1325" w:type="dxa"/>
          </w:tcPr>
          <w:p w14:paraId="52D3CE6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válaszadók aránya, akik a képzésben érdemi, szükségtelen tananyag-ismétlést jeleznek.</w:t>
            </w:r>
          </w:p>
        </w:tc>
        <w:tc>
          <w:tcPr>
            <w:tcW w:w="1170" w:type="dxa"/>
          </w:tcPr>
          <w:p w14:paraId="22A32C8D"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Nagymintás hallgatói elégedettségmérés</w:t>
            </w:r>
          </w:p>
        </w:tc>
        <w:tc>
          <w:tcPr>
            <w:tcW w:w="810" w:type="dxa"/>
          </w:tcPr>
          <w:p w14:paraId="68F0E7D9"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2026</w:t>
            </w:r>
          </w:p>
        </w:tc>
        <w:tc>
          <w:tcPr>
            <w:tcW w:w="1300" w:type="dxa"/>
          </w:tcPr>
          <w:p w14:paraId="7CFB6CBC"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Szak; Kar; képzési szint</w:t>
            </w:r>
          </w:p>
        </w:tc>
        <w:tc>
          <w:tcPr>
            <w:tcW w:w="860" w:type="dxa"/>
          </w:tcPr>
          <w:p w14:paraId="548760A1"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0" w:type="dxa"/>
          </w:tcPr>
          <w:p w14:paraId="6892F5E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597" w:type="dxa"/>
          </w:tcPr>
          <w:p w14:paraId="68F06A98"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hallgatói élményt rontó redundanciák azonosítására</w:t>
            </w:r>
          </w:p>
        </w:tc>
      </w:tr>
    </w:tbl>
    <w:p w14:paraId="5A21AD21" w14:textId="77777777" w:rsidR="0092683F" w:rsidRPr="002B0721" w:rsidRDefault="0092683F" w:rsidP="00930415">
      <w:pPr>
        <w:pStyle w:val="Heading3"/>
      </w:pPr>
      <w:r w:rsidRPr="002B0721">
        <w:t xml:space="preserve">C) Elemzések és ábrák </w:t>
      </w:r>
    </w:p>
    <w:p w14:paraId="58FBAEB7" w14:textId="77777777" w:rsidR="0092683F" w:rsidRPr="002B0721" w:rsidRDefault="0092683F" w:rsidP="00930415">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4A6A999E" w14:textId="77777777" w:rsidR="0092683F" w:rsidRPr="002B0721" w:rsidRDefault="0092683F" w:rsidP="00930415">
      <w:pPr>
        <w:pStyle w:val="ListParagraph"/>
        <w:numPr>
          <w:ilvl w:val="0"/>
          <w:numId w:val="5"/>
        </w:numPr>
      </w:pPr>
      <w:proofErr w:type="gramStart"/>
      <w:r w:rsidRPr="002B0721">
        <w:t>[ ]</w:t>
      </w:r>
      <w:proofErr w:type="gramEnd"/>
      <w:r w:rsidRPr="002B0721">
        <w:t xml:space="preserve"> Szegmentáció (ha releváns)</w:t>
      </w:r>
    </w:p>
    <w:p w14:paraId="769414E4" w14:textId="77777777" w:rsidR="0092683F" w:rsidRPr="002B0721" w:rsidRDefault="0092683F" w:rsidP="00930415">
      <w:pPr>
        <w:pStyle w:val="ListParagraph"/>
        <w:numPr>
          <w:ilvl w:val="0"/>
          <w:numId w:val="5"/>
        </w:numPr>
      </w:pPr>
      <w:proofErr w:type="gramStart"/>
      <w:r w:rsidRPr="002B0721">
        <w:t>[ ]</w:t>
      </w:r>
      <w:proofErr w:type="gramEnd"/>
      <w:r w:rsidRPr="002B0721">
        <w:t xml:space="preserve"> Benchmark (ha elérhető)</w:t>
      </w:r>
    </w:p>
    <w:p w14:paraId="29F26E82" w14:textId="77777777" w:rsidR="0092683F" w:rsidRPr="002B0721" w:rsidRDefault="0092683F" w:rsidP="00930415">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5486387C" w14:textId="77777777" w:rsidR="0092683F" w:rsidRPr="002B0721" w:rsidRDefault="0092683F" w:rsidP="00930415">
      <w:pPr>
        <w:pStyle w:val="ListParagraph"/>
        <w:numPr>
          <w:ilvl w:val="0"/>
          <w:numId w:val="5"/>
        </w:numPr>
      </w:pPr>
      <w:proofErr w:type="gramStart"/>
      <w:r w:rsidRPr="002B0721">
        <w:t>[ ]</w:t>
      </w:r>
      <w:proofErr w:type="gramEnd"/>
      <w:r w:rsidRPr="002B0721">
        <w:t xml:space="preserve"> Kritikus pontok</w:t>
      </w:r>
      <w:r w:rsidR="00930415" w:rsidRPr="002B0721">
        <w:t xml:space="preserve"> (tantárgyak)</w:t>
      </w:r>
      <w:r w:rsidRPr="002B0721">
        <w:t xml:space="preserve"> / </w:t>
      </w:r>
      <w:r w:rsidR="00930415" w:rsidRPr="002B0721">
        <w:t>kritikus</w:t>
      </w:r>
      <w:r w:rsidRPr="002B0721">
        <w:t xml:space="preserve"> </w:t>
      </w:r>
      <w:r w:rsidR="00930415" w:rsidRPr="002B0721">
        <w:t>tanulmányi uta</w:t>
      </w:r>
      <w:r w:rsidR="00677ED0">
        <w:t>k</w:t>
      </w:r>
      <w:r w:rsidR="00930415" w:rsidRPr="002B0721">
        <w:t xml:space="preserve"> </w:t>
      </w:r>
    </w:p>
    <w:p w14:paraId="3C31BCEC" w14:textId="77777777" w:rsidR="00930415" w:rsidRPr="002B0721" w:rsidRDefault="0092683F" w:rsidP="00930415">
      <w:pPr>
        <w:pStyle w:val="Heading3"/>
      </w:pPr>
      <w:r w:rsidRPr="002B0721">
        <w:t>D) Fő megállapítások</w:t>
      </w:r>
    </w:p>
    <w:p w14:paraId="5B297556" w14:textId="77777777" w:rsidR="0092683F" w:rsidRPr="002B0721" w:rsidRDefault="0092683F" w:rsidP="0092683F">
      <w:r w:rsidRPr="002B0721">
        <w:rPr>
          <w:i/>
          <w:color w:val="005A9C"/>
        </w:rPr>
        <w:t>&lt;&lt;3-7 pont&gt;&gt;</w:t>
      </w:r>
    </w:p>
    <w:p w14:paraId="608748A5" w14:textId="628BBCF1" w:rsidR="0092683F" w:rsidRDefault="00787262" w:rsidP="00930415">
      <w:pPr>
        <w:pStyle w:val="ListParagraph"/>
        <w:numPr>
          <w:ilvl w:val="0"/>
          <w:numId w:val="6"/>
        </w:numPr>
        <w:rPr>
          <w:highlight w:val="yellow"/>
        </w:rPr>
      </w:pPr>
      <w:r w:rsidRPr="00787262">
        <w:rPr>
          <w:highlight w:val="yellow"/>
        </w:rPr>
        <w:t>A hallgatók a képzés legnagyobb hiányaként az ipari szoftverkörnyezetben szerzett gyakorlatot</w:t>
      </w:r>
      <w:r w:rsidR="006C3934">
        <w:rPr>
          <w:highlight w:val="yellow"/>
        </w:rPr>
        <w:t>,</w:t>
      </w:r>
      <w:r w:rsidRPr="00787262">
        <w:rPr>
          <w:highlight w:val="yellow"/>
        </w:rPr>
        <w:t xml:space="preserve"> </w:t>
      </w:r>
      <w:r w:rsidR="001448C1">
        <w:rPr>
          <w:highlight w:val="yellow"/>
        </w:rPr>
        <w:t xml:space="preserve">valamint a </w:t>
      </w:r>
      <w:r w:rsidR="001448C1" w:rsidRPr="00787262">
        <w:rPr>
          <w:highlight w:val="yellow"/>
        </w:rPr>
        <w:t>csoportos projektmunkát</w:t>
      </w:r>
      <w:r w:rsidR="001448C1">
        <w:rPr>
          <w:highlight w:val="yellow"/>
        </w:rPr>
        <w:t xml:space="preserve"> </w:t>
      </w:r>
      <w:r w:rsidRPr="00787262">
        <w:rPr>
          <w:highlight w:val="yellow"/>
        </w:rPr>
        <w:t>jelölték meg</w:t>
      </w:r>
      <w:r w:rsidR="00AC0F51">
        <w:rPr>
          <w:highlight w:val="yellow"/>
        </w:rPr>
        <w:t>.</w:t>
      </w:r>
      <w:r w:rsidRPr="00787262">
        <w:rPr>
          <w:highlight w:val="yellow"/>
        </w:rPr>
        <w:t xml:space="preserve"> </w:t>
      </w:r>
      <w:r w:rsidR="00AC0F51">
        <w:rPr>
          <w:highlight w:val="yellow"/>
        </w:rPr>
        <w:t>E</w:t>
      </w:r>
      <w:r w:rsidRPr="00787262">
        <w:rPr>
          <w:highlight w:val="yellow"/>
        </w:rPr>
        <w:t xml:space="preserve">z az </w:t>
      </w:r>
      <w:proofErr w:type="spellStart"/>
      <w:r w:rsidRPr="00787262">
        <w:rPr>
          <w:highlight w:val="yellow"/>
        </w:rPr>
        <w:t>alumni</w:t>
      </w:r>
      <w:proofErr w:type="spellEnd"/>
      <w:r w:rsidRPr="00787262">
        <w:rPr>
          <w:highlight w:val="yellow"/>
        </w:rPr>
        <w:t xml:space="preserve"> visszajelzésekkel is összhangban van.</w:t>
      </w:r>
    </w:p>
    <w:p w14:paraId="03C08337" w14:textId="77777777" w:rsidR="00BC1105" w:rsidRPr="007906A7" w:rsidRDefault="00BC1105" w:rsidP="00BC1105">
      <w:pPr>
        <w:pStyle w:val="ListParagraph"/>
        <w:numPr>
          <w:ilvl w:val="0"/>
          <w:numId w:val="6"/>
        </w:numPr>
        <w:rPr>
          <w:iCs/>
          <w:highlight w:val="yellow"/>
        </w:rPr>
      </w:pPr>
      <w:r w:rsidRPr="00906D88">
        <w:rPr>
          <w:highlight w:val="yellow"/>
        </w:rPr>
        <w:t>Az elégedetlenség és az előrehaladási nehézség nem homogén: a negatív visszajelzések és a torlódási pontok jellemzően néhány kritikus félévben, illetve a munkavégzés mellett tanuló hallgatók körében koncentrálódnak.</w:t>
      </w:r>
    </w:p>
    <w:p w14:paraId="0B7676A0" w14:textId="77777777" w:rsidR="00BC1105" w:rsidRPr="00906D88" w:rsidRDefault="00BC1105" w:rsidP="00BC1105">
      <w:pPr>
        <w:ind w:left="1416"/>
        <w:rPr>
          <w:i/>
          <w:iCs/>
          <w:color w:val="005A9C"/>
          <w:highlight w:val="yellow"/>
        </w:rPr>
      </w:pPr>
      <w:r w:rsidRPr="00906D88">
        <w:rPr>
          <w:i/>
          <w:iCs/>
          <w:highlight w:val="yellow"/>
        </w:rPr>
        <w:t>Fejlesztési cél és értelme: lehetővé teszi az időben és célcsoport szerint fókuszált beavatkozásokat, a teljes tanterv helyett a legérzékenyebb pontokra irányítva az erőforrásokat.</w:t>
      </w:r>
    </w:p>
    <w:p w14:paraId="5AB1A0F4" w14:textId="77777777" w:rsidR="00BC1105" w:rsidRPr="007906A7" w:rsidRDefault="00BC1105" w:rsidP="00BC1105">
      <w:pPr>
        <w:pStyle w:val="ListParagraph"/>
        <w:numPr>
          <w:ilvl w:val="0"/>
          <w:numId w:val="6"/>
        </w:numPr>
        <w:rPr>
          <w:iCs/>
          <w:highlight w:val="yellow"/>
        </w:rPr>
      </w:pPr>
      <w:r w:rsidRPr="00906D88">
        <w:rPr>
          <w:highlight w:val="yellow"/>
        </w:rPr>
        <w:t>A belépő elvárások és a tényleges hallgatói tapasztalat között különösen az elmélet–gyakorlat arány, a visszajelzés gyorsasága és a tanulási rugalmasság terén rajzolódik ki rés.</w:t>
      </w:r>
    </w:p>
    <w:p w14:paraId="6B789FC2" w14:textId="77777777" w:rsidR="00BC1105" w:rsidRPr="00906D88" w:rsidRDefault="00BC1105" w:rsidP="00BC1105">
      <w:pPr>
        <w:ind w:left="1416"/>
        <w:rPr>
          <w:i/>
          <w:iCs/>
          <w:color w:val="005A9C"/>
          <w:highlight w:val="yellow"/>
        </w:rPr>
      </w:pPr>
      <w:r w:rsidRPr="00906D88">
        <w:rPr>
          <w:i/>
          <w:iCs/>
          <w:highlight w:val="yellow"/>
        </w:rPr>
        <w:t xml:space="preserve">Fejlesztési cél és értelme: támogatja a hallgatói értékajánlat </w:t>
      </w:r>
      <w:proofErr w:type="spellStart"/>
      <w:r w:rsidRPr="00906D88">
        <w:rPr>
          <w:i/>
          <w:iCs/>
          <w:highlight w:val="yellow"/>
        </w:rPr>
        <w:t>újrapozicionálását</w:t>
      </w:r>
      <w:proofErr w:type="spellEnd"/>
      <w:r w:rsidRPr="00906D88">
        <w:rPr>
          <w:i/>
          <w:iCs/>
          <w:highlight w:val="yellow"/>
        </w:rPr>
        <w:t xml:space="preserve"> és a tanulási design korrekcióját, így csökkentheti az elégedetlenség strukturális okait.</w:t>
      </w:r>
    </w:p>
    <w:p w14:paraId="0D95BDA1" w14:textId="77777777" w:rsidR="00BC1105" w:rsidRPr="007906A7" w:rsidRDefault="00BC1105" w:rsidP="00BC1105">
      <w:pPr>
        <w:pStyle w:val="ListParagraph"/>
        <w:numPr>
          <w:ilvl w:val="0"/>
          <w:numId w:val="6"/>
        </w:numPr>
        <w:rPr>
          <w:iCs/>
          <w:highlight w:val="yellow"/>
        </w:rPr>
      </w:pPr>
      <w:r w:rsidRPr="00906D88">
        <w:rPr>
          <w:highlight w:val="yellow"/>
        </w:rPr>
        <w:t>Több kritikus tárgy esetében nem önmagában a szakmai nehézség, hanem az értékelési szerkezet, a határidők torlódása és a visszajelzés kiszámíthatatlansága rontja a hallgatói élményt.</w:t>
      </w:r>
    </w:p>
    <w:p w14:paraId="44988F8C" w14:textId="77777777" w:rsidR="00BC1105" w:rsidRPr="00E76CE9" w:rsidRDefault="00BC1105" w:rsidP="00BC1105">
      <w:pPr>
        <w:ind w:left="1416"/>
        <w:rPr>
          <w:i/>
          <w:iCs/>
          <w:color w:val="005A9C"/>
        </w:rPr>
      </w:pPr>
      <w:r w:rsidRPr="00906D88">
        <w:rPr>
          <w:i/>
          <w:iCs/>
          <w:highlight w:val="yellow"/>
        </w:rPr>
        <w:t>Fejlesztési cél és értelme: a probléma okát az oktatásszervezési mintázatokban azonosítja, ezért gyorsabb és kisebb költségű korrekciókat is lehetővé tesz.</w:t>
      </w:r>
    </w:p>
    <w:p w14:paraId="00D99F70" w14:textId="77777777" w:rsidR="00BC1105" w:rsidRPr="002B0721" w:rsidRDefault="00BC1105" w:rsidP="00BC1105">
      <w:pPr>
        <w:pStyle w:val="ListParagraph"/>
        <w:numPr>
          <w:ilvl w:val="0"/>
          <w:numId w:val="6"/>
        </w:numPr>
      </w:pPr>
      <w:r w:rsidRPr="002B0721">
        <w:t>&lt;&lt;KITÖLTENDŐ&gt;&gt;</w:t>
      </w:r>
    </w:p>
    <w:p w14:paraId="704D1EF1" w14:textId="77777777" w:rsidR="0092683F" w:rsidRPr="002B0721" w:rsidRDefault="0092683F" w:rsidP="00930415">
      <w:pPr>
        <w:pStyle w:val="Heading3"/>
      </w:pPr>
      <w:r w:rsidRPr="002B0721">
        <w:t>E) Döntési opciók</w:t>
      </w:r>
    </w:p>
    <w:p w14:paraId="59A90699" w14:textId="77777777" w:rsidR="0092683F" w:rsidRPr="002B0721" w:rsidRDefault="0092683F" w:rsidP="0092683F">
      <w:r w:rsidRPr="002B0721">
        <w:t>Döntési opciók (min. 2-3 alternatíva)</w:t>
      </w:r>
    </w:p>
    <w:tbl>
      <w:tblPr>
        <w:tblStyle w:val="GridTable5Dark-Accent1"/>
        <w:tblW w:w="0" w:type="auto"/>
        <w:tblLook w:val="04A0" w:firstRow="1" w:lastRow="0" w:firstColumn="1" w:lastColumn="0" w:noHBand="0" w:noVBand="1"/>
      </w:tblPr>
      <w:tblGrid>
        <w:gridCol w:w="716"/>
        <w:gridCol w:w="1939"/>
        <w:gridCol w:w="1703"/>
        <w:gridCol w:w="1785"/>
        <w:gridCol w:w="1232"/>
        <w:gridCol w:w="1687"/>
      </w:tblGrid>
      <w:tr w:rsidR="00787262" w:rsidRPr="00787262" w14:paraId="492AC6AC" w14:textId="77777777" w:rsidTr="0078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tcPr>
          <w:p w14:paraId="446F0FF2" w14:textId="5F4964CF" w:rsidR="00787262" w:rsidRPr="00787262" w:rsidRDefault="00787262" w:rsidP="00787262">
            <w:pPr>
              <w:rPr>
                <w:sz w:val="18"/>
                <w:szCs w:val="18"/>
              </w:rPr>
            </w:pPr>
            <w:r w:rsidRPr="00787262">
              <w:rPr>
                <w:sz w:val="18"/>
                <w:szCs w:val="18"/>
              </w:rPr>
              <w:t>Opció</w:t>
            </w:r>
          </w:p>
        </w:tc>
        <w:tc>
          <w:tcPr>
            <w:tcW w:w="1676" w:type="dxa"/>
          </w:tcPr>
          <w:p w14:paraId="73C3941F" w14:textId="1BADD43A" w:rsidR="00787262" w:rsidRPr="00787262" w:rsidRDefault="00787262" w:rsidP="00787262">
            <w:pPr>
              <w:jc w:val="center"/>
              <w:cnfStyle w:val="100000000000" w:firstRow="1" w:lastRow="0" w:firstColumn="0" w:lastColumn="0" w:oddVBand="0" w:evenVBand="0" w:oddHBand="0" w:evenHBand="0" w:firstRowFirstColumn="0" w:firstRowLastColumn="0" w:lastRowFirstColumn="0" w:lastRowLastColumn="0"/>
              <w:rPr>
                <w:sz w:val="18"/>
                <w:szCs w:val="18"/>
              </w:rPr>
            </w:pPr>
            <w:r w:rsidRPr="00787262">
              <w:rPr>
                <w:sz w:val="18"/>
                <w:szCs w:val="18"/>
              </w:rPr>
              <w:t>Leírás</w:t>
            </w:r>
          </w:p>
        </w:tc>
        <w:tc>
          <w:tcPr>
            <w:tcW w:w="1675" w:type="dxa"/>
          </w:tcPr>
          <w:p w14:paraId="311667F7" w14:textId="5BD8735E" w:rsidR="00787262" w:rsidRPr="00787262" w:rsidRDefault="00787262" w:rsidP="00787262">
            <w:pPr>
              <w:jc w:val="center"/>
              <w:cnfStyle w:val="100000000000" w:firstRow="1" w:lastRow="0" w:firstColumn="0" w:lastColumn="0" w:oddVBand="0" w:evenVBand="0" w:oddHBand="0" w:evenHBand="0" w:firstRowFirstColumn="0" w:firstRowLastColumn="0" w:lastRowFirstColumn="0" w:lastRowLastColumn="0"/>
              <w:rPr>
                <w:sz w:val="18"/>
                <w:szCs w:val="18"/>
              </w:rPr>
            </w:pPr>
            <w:r w:rsidRPr="00787262">
              <w:rPr>
                <w:sz w:val="18"/>
                <w:szCs w:val="18"/>
              </w:rPr>
              <w:t>Várható hatás (KPI)</w:t>
            </w:r>
          </w:p>
        </w:tc>
        <w:tc>
          <w:tcPr>
            <w:tcW w:w="1675" w:type="dxa"/>
          </w:tcPr>
          <w:p w14:paraId="439F4E90" w14:textId="2A715808" w:rsidR="00787262" w:rsidRPr="00787262" w:rsidRDefault="00787262" w:rsidP="00787262">
            <w:pPr>
              <w:jc w:val="center"/>
              <w:cnfStyle w:val="100000000000" w:firstRow="1" w:lastRow="0" w:firstColumn="0" w:lastColumn="0" w:oddVBand="0" w:evenVBand="0" w:oddHBand="0" w:evenHBand="0" w:firstRowFirstColumn="0" w:firstRowLastColumn="0" w:lastRowFirstColumn="0" w:lastRowLastColumn="0"/>
              <w:rPr>
                <w:sz w:val="18"/>
                <w:szCs w:val="18"/>
              </w:rPr>
            </w:pPr>
            <w:r w:rsidRPr="00787262">
              <w:rPr>
                <w:sz w:val="18"/>
                <w:szCs w:val="18"/>
              </w:rPr>
              <w:t>Erőforrásigény / költség</w:t>
            </w:r>
          </w:p>
        </w:tc>
        <w:tc>
          <w:tcPr>
            <w:tcW w:w="1675" w:type="dxa"/>
          </w:tcPr>
          <w:p w14:paraId="5195D05D" w14:textId="2C4738FA" w:rsidR="00787262" w:rsidRPr="00787262" w:rsidRDefault="00787262" w:rsidP="00787262">
            <w:pPr>
              <w:jc w:val="center"/>
              <w:cnfStyle w:val="100000000000" w:firstRow="1" w:lastRow="0" w:firstColumn="0" w:lastColumn="0" w:oddVBand="0" w:evenVBand="0" w:oddHBand="0" w:evenHBand="0" w:firstRowFirstColumn="0" w:firstRowLastColumn="0" w:lastRowFirstColumn="0" w:lastRowLastColumn="0"/>
              <w:rPr>
                <w:sz w:val="18"/>
                <w:szCs w:val="18"/>
              </w:rPr>
            </w:pPr>
            <w:r w:rsidRPr="00787262">
              <w:rPr>
                <w:sz w:val="18"/>
                <w:szCs w:val="18"/>
              </w:rPr>
              <w:t>Idő (hónap)</w:t>
            </w:r>
          </w:p>
        </w:tc>
        <w:tc>
          <w:tcPr>
            <w:tcW w:w="1675" w:type="dxa"/>
          </w:tcPr>
          <w:p w14:paraId="7B6768C2" w14:textId="11DE4C1C" w:rsidR="00787262" w:rsidRPr="00787262" w:rsidRDefault="00787262" w:rsidP="00787262">
            <w:pPr>
              <w:jc w:val="center"/>
              <w:cnfStyle w:val="100000000000" w:firstRow="1" w:lastRow="0" w:firstColumn="0" w:lastColumn="0" w:oddVBand="0" w:evenVBand="0" w:oddHBand="0" w:evenHBand="0" w:firstRowFirstColumn="0" w:firstRowLastColumn="0" w:lastRowFirstColumn="0" w:lastRowLastColumn="0"/>
              <w:rPr>
                <w:sz w:val="18"/>
                <w:szCs w:val="18"/>
              </w:rPr>
            </w:pPr>
            <w:r w:rsidRPr="00787262">
              <w:rPr>
                <w:sz w:val="18"/>
                <w:szCs w:val="18"/>
              </w:rPr>
              <w:t xml:space="preserve">Fő kockázat + </w:t>
            </w:r>
            <w:proofErr w:type="spellStart"/>
            <w:r w:rsidRPr="00787262">
              <w:rPr>
                <w:sz w:val="18"/>
                <w:szCs w:val="18"/>
              </w:rPr>
              <w:t>mitigáció</w:t>
            </w:r>
            <w:proofErr w:type="spellEnd"/>
          </w:p>
        </w:tc>
      </w:tr>
      <w:tr w:rsidR="00787262" w:rsidRPr="00787262" w14:paraId="02E2C56B" w14:textId="77777777" w:rsidTr="0078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tcPr>
          <w:p w14:paraId="0914996B" w14:textId="4A995E3D" w:rsidR="00787262" w:rsidRPr="00787262" w:rsidRDefault="00787262" w:rsidP="00787262">
            <w:pPr>
              <w:rPr>
                <w:sz w:val="18"/>
                <w:szCs w:val="18"/>
              </w:rPr>
            </w:pPr>
            <w:r w:rsidRPr="00787262">
              <w:rPr>
                <w:sz w:val="18"/>
                <w:szCs w:val="18"/>
              </w:rPr>
              <w:t>Opció 1</w:t>
            </w:r>
          </w:p>
        </w:tc>
        <w:tc>
          <w:tcPr>
            <w:tcW w:w="1676" w:type="dxa"/>
          </w:tcPr>
          <w:p w14:paraId="764E44AE" w14:textId="59374DBA" w:rsidR="00787262" w:rsidRPr="00E84AD4" w:rsidRDefault="00787262" w:rsidP="00787262">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4AD4">
              <w:rPr>
                <w:sz w:val="18"/>
                <w:szCs w:val="18"/>
                <w:highlight w:val="yellow"/>
              </w:rPr>
              <w:t xml:space="preserve">Meglévő tantárgy tematikai bővítése: egy fennálló laborgyakorlat utolsó 3-4 hetét ipari szoftverkörnyezetben (pl. ANSYS </w:t>
            </w:r>
            <w:proofErr w:type="spellStart"/>
            <w:r w:rsidRPr="00E84AD4">
              <w:rPr>
                <w:sz w:val="18"/>
                <w:szCs w:val="18"/>
                <w:highlight w:val="yellow"/>
              </w:rPr>
              <w:t>Student</w:t>
            </w:r>
            <w:proofErr w:type="spellEnd"/>
            <w:r w:rsidRPr="00E84AD4">
              <w:rPr>
                <w:sz w:val="18"/>
                <w:szCs w:val="18"/>
                <w:highlight w:val="yellow"/>
              </w:rPr>
              <w:t>) végzett csoportos feladattal váltják ki; a csoportmunka értékelési súlyának emelése.</w:t>
            </w:r>
          </w:p>
        </w:tc>
        <w:tc>
          <w:tcPr>
            <w:tcW w:w="1675" w:type="dxa"/>
          </w:tcPr>
          <w:p w14:paraId="33ADCADC" w14:textId="39441A96" w:rsidR="00787262" w:rsidRPr="00E84AD4" w:rsidRDefault="00787262" w:rsidP="00787262">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4AD4">
              <w:rPr>
                <w:sz w:val="18"/>
                <w:szCs w:val="18"/>
                <w:highlight w:val="yellow"/>
              </w:rPr>
              <w:t xml:space="preserve">Hallgatói NPS javulása; „munkaerőpiaci készségekre való felkészítés" mutató emelkedése; csoportos </w:t>
            </w:r>
            <w:proofErr w:type="spellStart"/>
            <w:r w:rsidRPr="00E84AD4">
              <w:rPr>
                <w:sz w:val="18"/>
                <w:szCs w:val="18"/>
                <w:highlight w:val="yellow"/>
              </w:rPr>
              <w:t>projektban</w:t>
            </w:r>
            <w:proofErr w:type="spellEnd"/>
            <w:r w:rsidRPr="00E84AD4">
              <w:rPr>
                <w:sz w:val="18"/>
                <w:szCs w:val="18"/>
                <w:highlight w:val="yellow"/>
              </w:rPr>
              <w:t xml:space="preserve"> részt vevők arányának növekedése. Hallgatók szakmai portfóliójának növekedése.</w:t>
            </w:r>
          </w:p>
        </w:tc>
        <w:tc>
          <w:tcPr>
            <w:tcW w:w="1675" w:type="dxa"/>
          </w:tcPr>
          <w:p w14:paraId="2D4C394F" w14:textId="587E0C7F" w:rsidR="00787262" w:rsidRPr="00E84AD4" w:rsidRDefault="00787262" w:rsidP="00787262">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4AD4">
              <w:rPr>
                <w:sz w:val="18"/>
                <w:szCs w:val="18"/>
                <w:highlight w:val="yellow"/>
              </w:rPr>
              <w:t>Alacsony: szoftverlicenc (ingyenes hallgatói verzió elérhető), oktatói felkészítés 1-2 alkalommal; meglévő infrastruktúra elegendő</w:t>
            </w:r>
          </w:p>
        </w:tc>
        <w:tc>
          <w:tcPr>
            <w:tcW w:w="1675" w:type="dxa"/>
          </w:tcPr>
          <w:p w14:paraId="603F47F1" w14:textId="2ECF93B1" w:rsidR="00787262" w:rsidRPr="00E84AD4" w:rsidRDefault="00787262" w:rsidP="00787262">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4AD4">
              <w:rPr>
                <w:sz w:val="18"/>
                <w:szCs w:val="18"/>
                <w:highlight w:val="yellow"/>
              </w:rPr>
              <w:t>3–4</w:t>
            </w:r>
          </w:p>
        </w:tc>
        <w:tc>
          <w:tcPr>
            <w:tcW w:w="1675" w:type="dxa"/>
          </w:tcPr>
          <w:p w14:paraId="76B7C3E3" w14:textId="5FEB3EF8" w:rsidR="00787262" w:rsidRPr="00E84AD4" w:rsidRDefault="00787262" w:rsidP="00787262">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4AD4">
              <w:rPr>
                <w:sz w:val="18"/>
                <w:szCs w:val="18"/>
                <w:highlight w:val="yellow"/>
              </w:rPr>
              <w:t xml:space="preserve">Oktatói ellenállás a tematikai változással szemben </w:t>
            </w:r>
            <w:r w:rsidRPr="00E84AD4">
              <w:rPr>
                <w:rFonts w:ascii="Times New Roman" w:hAnsi="Times New Roman" w:cs="Times New Roman"/>
                <w:sz w:val="18"/>
                <w:szCs w:val="18"/>
                <w:highlight w:val="yellow"/>
              </w:rPr>
              <w:t>→</w:t>
            </w:r>
            <w:r w:rsidRPr="00E84AD4">
              <w:rPr>
                <w:sz w:val="18"/>
                <w:szCs w:val="18"/>
                <w:highlight w:val="yellow"/>
              </w:rPr>
              <w:t xml:space="preserve"> korai bevon</w:t>
            </w:r>
            <w:r w:rsidRPr="00E84AD4">
              <w:rPr>
                <w:rFonts w:cs="Palatino Linotype"/>
                <w:sz w:val="18"/>
                <w:szCs w:val="18"/>
                <w:highlight w:val="yellow"/>
              </w:rPr>
              <w:t>á</w:t>
            </w:r>
            <w:r w:rsidRPr="00E84AD4">
              <w:rPr>
                <w:sz w:val="18"/>
                <w:szCs w:val="18"/>
                <w:highlight w:val="yellow"/>
              </w:rPr>
              <w:t xml:space="preserve">s </w:t>
            </w:r>
            <w:r w:rsidRPr="00E84AD4">
              <w:rPr>
                <w:rFonts w:cs="Palatino Linotype"/>
                <w:sz w:val="18"/>
                <w:szCs w:val="18"/>
                <w:highlight w:val="yellow"/>
              </w:rPr>
              <w:t>é</w:t>
            </w:r>
            <w:r w:rsidRPr="00E84AD4">
              <w:rPr>
                <w:sz w:val="18"/>
                <w:szCs w:val="18"/>
                <w:highlight w:val="yellow"/>
              </w:rPr>
              <w:t>s pilotf</w:t>
            </w:r>
            <w:r w:rsidRPr="00E84AD4">
              <w:rPr>
                <w:rFonts w:cs="Palatino Linotype"/>
                <w:sz w:val="18"/>
                <w:szCs w:val="18"/>
                <w:highlight w:val="yellow"/>
              </w:rPr>
              <w:t>é</w:t>
            </w:r>
            <w:r w:rsidRPr="00E84AD4">
              <w:rPr>
                <w:sz w:val="18"/>
                <w:szCs w:val="18"/>
                <w:highlight w:val="yellow"/>
              </w:rPr>
              <w:t>l</w:t>
            </w:r>
            <w:r w:rsidRPr="00E84AD4">
              <w:rPr>
                <w:rFonts w:cs="Palatino Linotype"/>
                <w:sz w:val="18"/>
                <w:szCs w:val="18"/>
                <w:highlight w:val="yellow"/>
              </w:rPr>
              <w:t>é</w:t>
            </w:r>
            <w:r w:rsidRPr="00E84AD4">
              <w:rPr>
                <w:sz w:val="18"/>
                <w:szCs w:val="18"/>
                <w:highlight w:val="yellow"/>
              </w:rPr>
              <w:t>v tervez</w:t>
            </w:r>
            <w:r w:rsidRPr="00E84AD4">
              <w:rPr>
                <w:rFonts w:cs="Palatino Linotype"/>
                <w:sz w:val="18"/>
                <w:szCs w:val="18"/>
                <w:highlight w:val="yellow"/>
              </w:rPr>
              <w:t>é</w:t>
            </w:r>
            <w:r w:rsidRPr="00E84AD4">
              <w:rPr>
                <w:sz w:val="18"/>
                <w:szCs w:val="18"/>
                <w:highlight w:val="yellow"/>
              </w:rPr>
              <w:t xml:space="preserve">se </w:t>
            </w:r>
            <w:proofErr w:type="spellStart"/>
            <w:r w:rsidRPr="00E84AD4">
              <w:rPr>
                <w:sz w:val="18"/>
                <w:szCs w:val="18"/>
                <w:highlight w:val="yellow"/>
              </w:rPr>
              <w:t>mitig</w:t>
            </w:r>
            <w:r w:rsidRPr="00E84AD4">
              <w:rPr>
                <w:rFonts w:cs="Palatino Linotype"/>
                <w:sz w:val="18"/>
                <w:szCs w:val="18"/>
                <w:highlight w:val="yellow"/>
              </w:rPr>
              <w:t>á</w:t>
            </w:r>
            <w:r w:rsidRPr="00E84AD4">
              <w:rPr>
                <w:sz w:val="18"/>
                <w:szCs w:val="18"/>
                <w:highlight w:val="yellow"/>
              </w:rPr>
              <w:t>l</w:t>
            </w:r>
            <w:r w:rsidR="001448C1">
              <w:rPr>
                <w:sz w:val="18"/>
                <w:szCs w:val="18"/>
                <w:highlight w:val="yellow"/>
              </w:rPr>
              <w:t>hatja</w:t>
            </w:r>
            <w:proofErr w:type="spellEnd"/>
          </w:p>
        </w:tc>
      </w:tr>
      <w:tr w:rsidR="00787262" w:rsidRPr="00787262" w14:paraId="24B7DF9B" w14:textId="77777777" w:rsidTr="00787262">
        <w:tc>
          <w:tcPr>
            <w:cnfStyle w:val="001000000000" w:firstRow="0" w:lastRow="0" w:firstColumn="1" w:lastColumn="0" w:oddVBand="0" w:evenVBand="0" w:oddHBand="0" w:evenHBand="0" w:firstRowFirstColumn="0" w:firstRowLastColumn="0" w:lastRowFirstColumn="0" w:lastRowLastColumn="0"/>
            <w:tcW w:w="686" w:type="dxa"/>
          </w:tcPr>
          <w:p w14:paraId="50BC475A" w14:textId="7450CC51" w:rsidR="00787262" w:rsidRPr="00787262" w:rsidRDefault="00787262" w:rsidP="00787262">
            <w:pPr>
              <w:rPr>
                <w:sz w:val="18"/>
                <w:szCs w:val="18"/>
              </w:rPr>
            </w:pPr>
            <w:r w:rsidRPr="00787262">
              <w:rPr>
                <w:sz w:val="18"/>
                <w:szCs w:val="18"/>
              </w:rPr>
              <w:t>Opció 2</w:t>
            </w:r>
          </w:p>
        </w:tc>
        <w:tc>
          <w:tcPr>
            <w:tcW w:w="1676" w:type="dxa"/>
          </w:tcPr>
          <w:p w14:paraId="620A2B5A" w14:textId="18FE5E75" w:rsidR="00787262" w:rsidRPr="00E84AD4" w:rsidRDefault="00787262" w:rsidP="0078726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84AD4">
              <w:rPr>
                <w:sz w:val="18"/>
                <w:szCs w:val="18"/>
                <w:highlight w:val="yellow"/>
              </w:rPr>
              <w:t>Új kötelező kurzus bevezetése „</w:t>
            </w:r>
            <w:r w:rsidR="00E84AD4" w:rsidRPr="00E84AD4">
              <w:rPr>
                <w:sz w:val="18"/>
                <w:szCs w:val="18"/>
                <w:highlight w:val="yellow"/>
              </w:rPr>
              <w:t>P</w:t>
            </w:r>
            <w:r w:rsidRPr="00E84AD4">
              <w:rPr>
                <w:sz w:val="18"/>
                <w:szCs w:val="18"/>
                <w:highlight w:val="yellow"/>
              </w:rPr>
              <w:t xml:space="preserve">rojekttervezés" címen: </w:t>
            </w:r>
            <w:r w:rsidR="00E84AD4" w:rsidRPr="00E84AD4">
              <w:rPr>
                <w:sz w:val="18"/>
                <w:szCs w:val="18"/>
                <w:highlight w:val="yellow"/>
              </w:rPr>
              <w:t>4</w:t>
            </w:r>
            <w:r w:rsidRPr="00E84AD4">
              <w:rPr>
                <w:sz w:val="18"/>
                <w:szCs w:val="18"/>
                <w:highlight w:val="yellow"/>
              </w:rPr>
              <w:t xml:space="preserve"> kredites, </w:t>
            </w:r>
            <w:r w:rsidR="00E84AD4" w:rsidRPr="00E84AD4">
              <w:rPr>
                <w:sz w:val="18"/>
                <w:szCs w:val="18"/>
                <w:highlight w:val="yellow"/>
              </w:rPr>
              <w:t>2</w:t>
            </w:r>
            <w:r w:rsidRPr="00E84AD4">
              <w:rPr>
                <w:sz w:val="18"/>
                <w:szCs w:val="18"/>
                <w:highlight w:val="yellow"/>
              </w:rPr>
              <w:t xml:space="preserve">. féléves </w:t>
            </w:r>
            <w:r w:rsidR="00E84AD4" w:rsidRPr="00E84AD4">
              <w:rPr>
                <w:sz w:val="18"/>
                <w:szCs w:val="18"/>
                <w:highlight w:val="yellow"/>
              </w:rPr>
              <w:t>tan</w:t>
            </w:r>
            <w:r w:rsidRPr="00E84AD4">
              <w:rPr>
                <w:sz w:val="18"/>
                <w:szCs w:val="18"/>
                <w:highlight w:val="yellow"/>
              </w:rPr>
              <w:t xml:space="preserve">tárgy, amelynek tananyaga ipari partnercéggel közösen kidolgozott, valós szimulációs feladatot </w:t>
            </w:r>
            <w:proofErr w:type="spellStart"/>
            <w:r w:rsidRPr="00E84AD4">
              <w:rPr>
                <w:sz w:val="18"/>
                <w:szCs w:val="18"/>
                <w:highlight w:val="yellow"/>
              </w:rPr>
              <w:t>dolgoz</w:t>
            </w:r>
            <w:proofErr w:type="spellEnd"/>
            <w:r w:rsidRPr="00E84AD4">
              <w:rPr>
                <w:sz w:val="18"/>
                <w:szCs w:val="18"/>
                <w:highlight w:val="yellow"/>
              </w:rPr>
              <w:t xml:space="preserve"> fel 3-4 fős csoportokban;</w:t>
            </w:r>
          </w:p>
        </w:tc>
        <w:tc>
          <w:tcPr>
            <w:tcW w:w="1675" w:type="dxa"/>
          </w:tcPr>
          <w:p w14:paraId="3B2DFC81" w14:textId="0132B329" w:rsidR="00787262" w:rsidRPr="00E84AD4" w:rsidRDefault="00787262" w:rsidP="0078726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84AD4">
              <w:rPr>
                <w:sz w:val="18"/>
                <w:szCs w:val="18"/>
                <w:highlight w:val="yellow"/>
              </w:rPr>
              <w:t xml:space="preserve">Csúcsterhelési mutató romlásának kockázata a </w:t>
            </w:r>
            <w:r w:rsidR="00E84AD4" w:rsidRPr="00E84AD4">
              <w:rPr>
                <w:sz w:val="18"/>
                <w:szCs w:val="18"/>
                <w:highlight w:val="yellow"/>
              </w:rPr>
              <w:t>2</w:t>
            </w:r>
            <w:r w:rsidRPr="00E84AD4">
              <w:rPr>
                <w:sz w:val="18"/>
                <w:szCs w:val="18"/>
                <w:highlight w:val="yellow"/>
              </w:rPr>
              <w:t>. félévben; ugyanakkor NPS és munkaerőpiaci felkészítési mutató jelentős javulása várható</w:t>
            </w:r>
          </w:p>
        </w:tc>
        <w:tc>
          <w:tcPr>
            <w:tcW w:w="1675" w:type="dxa"/>
          </w:tcPr>
          <w:p w14:paraId="6E3CAE69" w14:textId="73474B74" w:rsidR="00787262" w:rsidRPr="00E84AD4" w:rsidRDefault="00787262" w:rsidP="0078726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84AD4">
              <w:rPr>
                <w:sz w:val="18"/>
                <w:szCs w:val="18"/>
                <w:highlight w:val="yellow"/>
              </w:rPr>
              <w:t>Közepes-magas: ipari partner felkutatása, szerződéskötés, tantervi módosítási eljárás, új tantárgyi tematika jóváhagyása</w:t>
            </w:r>
          </w:p>
        </w:tc>
        <w:tc>
          <w:tcPr>
            <w:tcW w:w="1675" w:type="dxa"/>
          </w:tcPr>
          <w:p w14:paraId="28FBF246" w14:textId="7D91D22B" w:rsidR="00787262" w:rsidRPr="00E84AD4" w:rsidRDefault="009A6CFE" w:rsidP="00787262">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3</w:t>
            </w:r>
            <w:r w:rsidR="00787262" w:rsidRPr="00E84AD4">
              <w:rPr>
                <w:sz w:val="18"/>
                <w:szCs w:val="18"/>
                <w:highlight w:val="yellow"/>
              </w:rPr>
              <w:t>–</w:t>
            </w:r>
            <w:r w:rsidR="00E84AD4" w:rsidRPr="00E84AD4">
              <w:rPr>
                <w:sz w:val="18"/>
                <w:szCs w:val="18"/>
                <w:highlight w:val="yellow"/>
              </w:rPr>
              <w:t>6</w:t>
            </w:r>
          </w:p>
        </w:tc>
        <w:tc>
          <w:tcPr>
            <w:tcW w:w="1675" w:type="dxa"/>
          </w:tcPr>
          <w:p w14:paraId="648A3248" w14:textId="1892FA2D" w:rsidR="00787262" w:rsidRPr="00E84AD4" w:rsidRDefault="00787262" w:rsidP="00787262">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84AD4">
              <w:rPr>
                <w:sz w:val="18"/>
                <w:szCs w:val="18"/>
                <w:highlight w:val="yellow"/>
              </w:rPr>
              <w:t xml:space="preserve">Ipari partner visszalépése vagy érdektelenség </w:t>
            </w:r>
            <w:r w:rsidRPr="00E84AD4">
              <w:rPr>
                <w:rFonts w:ascii="Times New Roman" w:hAnsi="Times New Roman" w:cs="Times New Roman"/>
                <w:sz w:val="18"/>
                <w:szCs w:val="18"/>
                <w:highlight w:val="yellow"/>
              </w:rPr>
              <w:t>→</w:t>
            </w:r>
            <w:r w:rsidRPr="00E84AD4">
              <w:rPr>
                <w:sz w:val="18"/>
                <w:szCs w:val="18"/>
                <w:highlight w:val="yellow"/>
              </w:rPr>
              <w:t xml:space="preserve"> 2 potenci</w:t>
            </w:r>
            <w:r w:rsidRPr="00E84AD4">
              <w:rPr>
                <w:rFonts w:cs="Palatino Linotype"/>
                <w:sz w:val="18"/>
                <w:szCs w:val="18"/>
                <w:highlight w:val="yellow"/>
              </w:rPr>
              <w:t>á</w:t>
            </w:r>
            <w:r w:rsidRPr="00E84AD4">
              <w:rPr>
                <w:sz w:val="18"/>
                <w:szCs w:val="18"/>
                <w:highlight w:val="yellow"/>
              </w:rPr>
              <w:t>lis partnerrel p</w:t>
            </w:r>
            <w:r w:rsidRPr="00E84AD4">
              <w:rPr>
                <w:rFonts w:cs="Palatino Linotype"/>
                <w:sz w:val="18"/>
                <w:szCs w:val="18"/>
                <w:highlight w:val="yellow"/>
              </w:rPr>
              <w:t>á</w:t>
            </w:r>
            <w:r w:rsidRPr="00E84AD4">
              <w:rPr>
                <w:sz w:val="18"/>
                <w:szCs w:val="18"/>
                <w:highlight w:val="yellow"/>
              </w:rPr>
              <w:t>rhuzamos t</w:t>
            </w:r>
            <w:r w:rsidRPr="00E84AD4">
              <w:rPr>
                <w:rFonts w:cs="Palatino Linotype"/>
                <w:sz w:val="18"/>
                <w:szCs w:val="18"/>
                <w:highlight w:val="yellow"/>
              </w:rPr>
              <w:t>á</w:t>
            </w:r>
            <w:r w:rsidRPr="00E84AD4">
              <w:rPr>
                <w:sz w:val="18"/>
                <w:szCs w:val="18"/>
                <w:highlight w:val="yellow"/>
              </w:rPr>
              <w:t>rgyal</w:t>
            </w:r>
            <w:r w:rsidRPr="00E84AD4">
              <w:rPr>
                <w:rFonts w:cs="Palatino Linotype"/>
                <w:sz w:val="18"/>
                <w:szCs w:val="18"/>
                <w:highlight w:val="yellow"/>
              </w:rPr>
              <w:t>á</w:t>
            </w:r>
            <w:r w:rsidRPr="00E84AD4">
              <w:rPr>
                <w:sz w:val="18"/>
                <w:szCs w:val="18"/>
                <w:highlight w:val="yellow"/>
              </w:rPr>
              <w:t>s javasolt; tartal</w:t>
            </w:r>
            <w:r w:rsidRPr="00E84AD4">
              <w:rPr>
                <w:rFonts w:cs="Palatino Linotype"/>
                <w:sz w:val="18"/>
                <w:szCs w:val="18"/>
                <w:highlight w:val="yellow"/>
              </w:rPr>
              <w:t>é</w:t>
            </w:r>
            <w:r w:rsidRPr="00E84AD4">
              <w:rPr>
                <w:sz w:val="18"/>
                <w:szCs w:val="18"/>
                <w:highlight w:val="yellow"/>
              </w:rPr>
              <w:t>k forgat</w:t>
            </w:r>
            <w:r w:rsidRPr="00E84AD4">
              <w:rPr>
                <w:rFonts w:cs="Palatino Linotype"/>
                <w:sz w:val="18"/>
                <w:szCs w:val="18"/>
                <w:highlight w:val="yellow"/>
              </w:rPr>
              <w:t>ó</w:t>
            </w:r>
            <w:r w:rsidRPr="00E84AD4">
              <w:rPr>
                <w:sz w:val="18"/>
                <w:szCs w:val="18"/>
                <w:highlight w:val="yellow"/>
              </w:rPr>
              <w:t>k</w:t>
            </w:r>
            <w:r w:rsidRPr="00E84AD4">
              <w:rPr>
                <w:rFonts w:cs="Palatino Linotype"/>
                <w:sz w:val="18"/>
                <w:szCs w:val="18"/>
                <w:highlight w:val="yellow"/>
              </w:rPr>
              <w:t>ö</w:t>
            </w:r>
            <w:r w:rsidRPr="00E84AD4">
              <w:rPr>
                <w:sz w:val="18"/>
                <w:szCs w:val="18"/>
                <w:highlight w:val="yellow"/>
              </w:rPr>
              <w:t>nyv bels</w:t>
            </w:r>
            <w:r w:rsidRPr="00E84AD4">
              <w:rPr>
                <w:rFonts w:cs="Palatino Linotype"/>
                <w:sz w:val="18"/>
                <w:szCs w:val="18"/>
                <w:highlight w:val="yellow"/>
              </w:rPr>
              <w:t>ő</w:t>
            </w:r>
            <w:r w:rsidRPr="00E84AD4">
              <w:rPr>
                <w:sz w:val="18"/>
                <w:szCs w:val="18"/>
                <w:highlight w:val="yellow"/>
              </w:rPr>
              <w:t xml:space="preserve"> konzulensekkel</w:t>
            </w:r>
          </w:p>
        </w:tc>
      </w:tr>
      <w:tr w:rsidR="00787262" w:rsidRPr="006058C4" w14:paraId="30065509" w14:textId="77777777" w:rsidTr="00787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tcPr>
          <w:p w14:paraId="179B0812" w14:textId="77777777" w:rsidR="000E3AA9" w:rsidRPr="006058C4" w:rsidRDefault="00032A4C">
            <w:pPr>
              <w:rPr>
                <w:sz w:val="18"/>
                <w:szCs w:val="18"/>
              </w:rPr>
            </w:pPr>
            <w:r w:rsidRPr="006058C4">
              <w:rPr>
                <w:sz w:val="18"/>
                <w:szCs w:val="18"/>
              </w:rPr>
              <w:t>Opció 3</w:t>
            </w:r>
          </w:p>
        </w:tc>
        <w:tc>
          <w:tcPr>
            <w:tcW w:w="1676" w:type="dxa"/>
          </w:tcPr>
          <w:p w14:paraId="31916877"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Korai jelzőrendszer és célzott tanulástámogatási csomag bevezetése a kritikus tantárgyakhoz: előrehaladási kockázatjelzés, tárgymentorálás, peer tutoring és rövid felzárkóztató modulok.</w:t>
            </w:r>
          </w:p>
        </w:tc>
        <w:tc>
          <w:tcPr>
            <w:tcW w:w="1675" w:type="dxa"/>
          </w:tcPr>
          <w:p w14:paraId="32617379"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Korai lemorzsolódás csökkenése; kritikus tantárgyak sikerességi arányának javulása; kreditelőrehaladás emelkedése</w:t>
            </w:r>
          </w:p>
        </w:tc>
        <w:tc>
          <w:tcPr>
            <w:tcW w:w="1675" w:type="dxa"/>
          </w:tcPr>
          <w:p w14:paraId="5F97C56B"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Közepes: mentorok, koordináció, célzott oktatói és hallgatói ráfordítás</w:t>
            </w:r>
          </w:p>
        </w:tc>
        <w:tc>
          <w:tcPr>
            <w:tcW w:w="1675" w:type="dxa"/>
          </w:tcPr>
          <w:p w14:paraId="5C7D7941"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2–4</w:t>
            </w:r>
          </w:p>
        </w:tc>
        <w:tc>
          <w:tcPr>
            <w:tcW w:w="1675" w:type="dxa"/>
          </w:tcPr>
          <w:p w14:paraId="54A19538"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Alacsony hallgatói részvétel → kötelező tájékoztatás, kurzushoz kötött ajánlás és korai megszólítás</w:t>
            </w:r>
          </w:p>
        </w:tc>
      </w:tr>
      <w:tr w:rsidR="000E3AA9" w:rsidRPr="006058C4" w14:paraId="0023835D" w14:textId="77777777" w:rsidTr="000E3AA9">
        <w:tc>
          <w:tcPr>
            <w:cnfStyle w:val="001000000000" w:firstRow="0" w:lastRow="0" w:firstColumn="1" w:lastColumn="0" w:oddVBand="0" w:evenVBand="0" w:oddHBand="0" w:evenHBand="0" w:firstRowFirstColumn="0" w:firstRowLastColumn="0" w:lastRowFirstColumn="0" w:lastRowLastColumn="0"/>
            <w:tcW w:w="694" w:type="dxa"/>
          </w:tcPr>
          <w:p w14:paraId="55E660AE" w14:textId="77777777" w:rsidR="000E3AA9" w:rsidRPr="006058C4" w:rsidRDefault="00032A4C">
            <w:pPr>
              <w:rPr>
                <w:sz w:val="18"/>
                <w:szCs w:val="18"/>
              </w:rPr>
            </w:pPr>
            <w:r w:rsidRPr="006058C4">
              <w:rPr>
                <w:sz w:val="18"/>
                <w:szCs w:val="18"/>
              </w:rPr>
              <w:t>Opció 4</w:t>
            </w:r>
          </w:p>
        </w:tc>
        <w:tc>
          <w:tcPr>
            <w:tcW w:w="1862" w:type="dxa"/>
          </w:tcPr>
          <w:p w14:paraId="0217DD2A"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Értékelési és határidő-struktúra újratervezése a kritikus félévekben: kisebb, ütemezettebb részfeladatok, gyorsabb visszajelzés, a beadási csúcsok kari szintű összehangolása.</w:t>
            </w:r>
          </w:p>
        </w:tc>
        <w:tc>
          <w:tcPr>
            <w:tcW w:w="1700" w:type="dxa"/>
          </w:tcPr>
          <w:p w14:paraId="688C4196"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Csúcsterhelési elégedettségi arány javulása; NPS emelkedése; kritikus tárgyakban jobb teljesítés</w:t>
            </w:r>
          </w:p>
        </w:tc>
        <w:tc>
          <w:tcPr>
            <w:tcW w:w="1700" w:type="dxa"/>
          </w:tcPr>
          <w:p w14:paraId="67BD1393"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Alacsony-közepes: elsősorban szervezési és oktatásmódszertani ráfordítás</w:t>
            </w:r>
          </w:p>
        </w:tc>
        <w:tc>
          <w:tcPr>
            <w:tcW w:w="1700" w:type="dxa"/>
          </w:tcPr>
          <w:p w14:paraId="5BA4D773"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1–3</w:t>
            </w:r>
          </w:p>
        </w:tc>
        <w:tc>
          <w:tcPr>
            <w:tcW w:w="1406" w:type="dxa"/>
          </w:tcPr>
          <w:p w14:paraId="5DEA49F1"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Oktatói autonómiával kapcsolatos aggályok → közös keretek, de tantárgyspecifikus megvalósítás</w:t>
            </w:r>
          </w:p>
        </w:tc>
      </w:tr>
    </w:tbl>
    <w:p w14:paraId="7DF90CB0" w14:textId="77777777" w:rsidR="00930415" w:rsidRPr="002B0721" w:rsidRDefault="0092683F" w:rsidP="00930415">
      <w:pPr>
        <w:pStyle w:val="Heading3"/>
      </w:pPr>
      <w:r w:rsidRPr="002B0721">
        <w:t>F) Kockázatok és kezelések</w:t>
      </w:r>
    </w:p>
    <w:p w14:paraId="5668B4A5" w14:textId="77777777" w:rsidR="0092683F" w:rsidRPr="002B0721" w:rsidRDefault="0092683F" w:rsidP="0092683F">
      <w:r w:rsidRPr="002B0721">
        <w:rPr>
          <w:i/>
          <w:color w:val="005A9C"/>
        </w:rPr>
        <w:t>&lt;&lt;</w:t>
      </w:r>
      <w:proofErr w:type="spellStart"/>
      <w:r w:rsidRPr="002B0721">
        <w:rPr>
          <w:i/>
          <w:color w:val="005A9C"/>
        </w:rPr>
        <w:t>max</w:t>
      </w:r>
      <w:proofErr w:type="spellEnd"/>
      <w:r w:rsidRPr="002B0721">
        <w:rPr>
          <w:i/>
          <w:color w:val="005A9C"/>
        </w:rPr>
        <w:t>. 5 kockázat&gt;&gt;</w:t>
      </w:r>
    </w:p>
    <w:p w14:paraId="09E70FC3" w14:textId="77777777" w:rsidR="0092683F" w:rsidRPr="002B0721" w:rsidRDefault="0092683F" w:rsidP="0092683F">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E84AD4" w:rsidRPr="00E84AD4" w14:paraId="5A11C264" w14:textId="77777777" w:rsidTr="00930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0545BF3" w14:textId="5EC97866" w:rsidR="00E84AD4" w:rsidRPr="00E84AD4" w:rsidRDefault="00E84AD4" w:rsidP="00E84AD4">
            <w:pPr>
              <w:jc w:val="center"/>
              <w:rPr>
                <w:sz w:val="18"/>
                <w:szCs w:val="18"/>
              </w:rPr>
            </w:pPr>
            <w:r w:rsidRPr="00E84AD4">
              <w:rPr>
                <w:sz w:val="18"/>
                <w:szCs w:val="18"/>
              </w:rPr>
              <w:t>Állítás / megállapítás</w:t>
            </w:r>
          </w:p>
        </w:tc>
        <w:tc>
          <w:tcPr>
            <w:tcW w:w="2191" w:type="dxa"/>
          </w:tcPr>
          <w:p w14:paraId="3F581DEB" w14:textId="541AEAC6" w:rsidR="00E84AD4" w:rsidRPr="00E84AD4" w:rsidRDefault="00E84AD4" w:rsidP="00E84AD4">
            <w:pPr>
              <w:jc w:val="center"/>
              <w:cnfStyle w:val="100000000000" w:firstRow="1" w:lastRow="0" w:firstColumn="0" w:lastColumn="0" w:oddVBand="0" w:evenVBand="0" w:oddHBand="0" w:evenHBand="0" w:firstRowFirstColumn="0" w:firstRowLastColumn="0" w:lastRowFirstColumn="0" w:lastRowLastColumn="0"/>
              <w:rPr>
                <w:sz w:val="18"/>
                <w:szCs w:val="18"/>
              </w:rPr>
            </w:pPr>
            <w:r w:rsidRPr="00E84AD4">
              <w:rPr>
                <w:sz w:val="18"/>
                <w:szCs w:val="18"/>
              </w:rPr>
              <w:t>Bizonyíték típusa</w:t>
            </w:r>
          </w:p>
        </w:tc>
        <w:tc>
          <w:tcPr>
            <w:tcW w:w="2392" w:type="dxa"/>
          </w:tcPr>
          <w:p w14:paraId="32809365" w14:textId="4ABF39E3" w:rsidR="00E84AD4" w:rsidRPr="00E84AD4" w:rsidRDefault="00E84AD4" w:rsidP="00E84AD4">
            <w:pPr>
              <w:jc w:val="center"/>
              <w:cnfStyle w:val="100000000000" w:firstRow="1" w:lastRow="0" w:firstColumn="0" w:lastColumn="0" w:oddVBand="0" w:evenVBand="0" w:oddHBand="0" w:evenHBand="0" w:firstRowFirstColumn="0" w:firstRowLastColumn="0" w:lastRowFirstColumn="0" w:lastRowLastColumn="0"/>
              <w:rPr>
                <w:sz w:val="18"/>
                <w:szCs w:val="18"/>
              </w:rPr>
            </w:pPr>
            <w:r w:rsidRPr="00E84AD4">
              <w:rPr>
                <w:sz w:val="18"/>
                <w:szCs w:val="18"/>
              </w:rPr>
              <w:t>Hivatkozás</w:t>
            </w:r>
          </w:p>
        </w:tc>
        <w:tc>
          <w:tcPr>
            <w:tcW w:w="2171" w:type="dxa"/>
          </w:tcPr>
          <w:p w14:paraId="09A35573" w14:textId="570389B6" w:rsidR="00E84AD4" w:rsidRPr="00E84AD4" w:rsidRDefault="00E84AD4" w:rsidP="00E84AD4">
            <w:pPr>
              <w:jc w:val="center"/>
              <w:cnfStyle w:val="100000000000" w:firstRow="1" w:lastRow="0" w:firstColumn="0" w:lastColumn="0" w:oddVBand="0" w:evenVBand="0" w:oddHBand="0" w:evenHBand="0" w:firstRowFirstColumn="0" w:firstRowLastColumn="0" w:lastRowFirstColumn="0" w:lastRowLastColumn="0"/>
              <w:rPr>
                <w:sz w:val="18"/>
                <w:szCs w:val="18"/>
              </w:rPr>
            </w:pPr>
            <w:r w:rsidRPr="00E84AD4">
              <w:rPr>
                <w:sz w:val="18"/>
                <w:szCs w:val="18"/>
              </w:rPr>
              <w:t>Megjegyzés</w:t>
            </w:r>
          </w:p>
        </w:tc>
      </w:tr>
      <w:tr w:rsidR="00E84AD4" w:rsidRPr="00E84AD4" w14:paraId="1011237E" w14:textId="77777777" w:rsidTr="00930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765B5735" w14:textId="123EDD32" w:rsidR="00E84AD4" w:rsidRPr="00E84AD4" w:rsidRDefault="00E84AD4" w:rsidP="00E84AD4">
            <w:pPr>
              <w:rPr>
                <w:sz w:val="18"/>
                <w:szCs w:val="18"/>
                <w:highlight w:val="yellow"/>
              </w:rPr>
            </w:pPr>
            <w:r w:rsidRPr="00E84AD4">
              <w:rPr>
                <w:sz w:val="18"/>
                <w:szCs w:val="18"/>
                <w:highlight w:val="yellow"/>
              </w:rPr>
              <w:t>A hallgatók a csoportos projektmunka és az ipari szoftvergyakorlat hiányát jelölték meg a képzés fő hiányosságaként</w:t>
            </w:r>
          </w:p>
        </w:tc>
        <w:tc>
          <w:tcPr>
            <w:tcW w:w="2191" w:type="dxa"/>
          </w:tcPr>
          <w:p w14:paraId="292D8723" w14:textId="12ACDB94"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4AD4">
              <w:rPr>
                <w:sz w:val="18"/>
                <w:szCs w:val="18"/>
                <w:highlight w:val="yellow"/>
              </w:rPr>
              <w:t>Kérdőíves felmérés</w:t>
            </w:r>
          </w:p>
        </w:tc>
        <w:tc>
          <w:tcPr>
            <w:tcW w:w="2392" w:type="dxa"/>
          </w:tcPr>
          <w:p w14:paraId="52A61F5B" w14:textId="1B136DAD" w:rsidR="00E84AD4" w:rsidRPr="00E84AD4" w:rsidRDefault="001448C1"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1448C1">
              <w:rPr>
                <w:sz w:val="18"/>
                <w:szCs w:val="18"/>
                <w:highlight w:val="yellow"/>
              </w:rPr>
              <w:t xml:space="preserve">Nagymintás hallgatói elégedettségmérés, </w:t>
            </w:r>
            <w:r>
              <w:rPr>
                <w:sz w:val="18"/>
                <w:szCs w:val="18"/>
                <w:highlight w:val="yellow"/>
              </w:rPr>
              <w:t>3. oldal: Egyetem – Munkavilág lapján szereplő eredmények</w:t>
            </w:r>
          </w:p>
        </w:tc>
        <w:tc>
          <w:tcPr>
            <w:tcW w:w="2171" w:type="dxa"/>
          </w:tcPr>
          <w:p w14:paraId="4A0DD780" w14:textId="2EE224D9"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4AD4">
              <w:rPr>
                <w:sz w:val="18"/>
                <w:szCs w:val="18"/>
                <w:highlight w:val="yellow"/>
              </w:rPr>
              <w:t xml:space="preserve">Nagymintás hallgatói </w:t>
            </w:r>
            <w:r>
              <w:rPr>
                <w:sz w:val="18"/>
                <w:szCs w:val="18"/>
                <w:highlight w:val="yellow"/>
              </w:rPr>
              <w:t xml:space="preserve">kérdőív </w:t>
            </w:r>
            <w:r w:rsidRPr="00E84AD4">
              <w:rPr>
                <w:sz w:val="18"/>
                <w:szCs w:val="18"/>
                <w:highlight w:val="yellow"/>
              </w:rPr>
              <w:t>eredménye</w:t>
            </w:r>
            <w:r w:rsidR="001448C1">
              <w:rPr>
                <w:sz w:val="18"/>
                <w:szCs w:val="18"/>
                <w:highlight w:val="yellow"/>
              </w:rPr>
              <w:t xml:space="preserve"> alapján kiugróan rossz megítélést kapott a szoftveres eszközök használatában való jártasság megítélése, </w:t>
            </w:r>
            <w:proofErr w:type="gramStart"/>
            <w:r w:rsidR="001448C1">
              <w:rPr>
                <w:sz w:val="18"/>
                <w:szCs w:val="18"/>
                <w:highlight w:val="yellow"/>
              </w:rPr>
              <w:t>így  ennek</w:t>
            </w:r>
            <w:proofErr w:type="gramEnd"/>
            <w:r w:rsidR="001448C1">
              <w:rPr>
                <w:sz w:val="18"/>
                <w:szCs w:val="18"/>
                <w:highlight w:val="yellow"/>
              </w:rPr>
              <w:t xml:space="preserve"> javítása a fő cél.</w:t>
            </w:r>
          </w:p>
        </w:tc>
      </w:tr>
      <w:tr w:rsidR="00E84AD4" w:rsidRPr="00E84AD4" w14:paraId="6E628040" w14:textId="77777777" w:rsidTr="00930415">
        <w:tc>
          <w:tcPr>
            <w:cnfStyle w:val="001000000000" w:firstRow="0" w:lastRow="0" w:firstColumn="1" w:lastColumn="0" w:oddVBand="0" w:evenVBand="0" w:oddHBand="0" w:evenHBand="0" w:firstRowFirstColumn="0" w:firstRowLastColumn="0" w:lastRowFirstColumn="0" w:lastRowLastColumn="0"/>
            <w:tcW w:w="2308" w:type="dxa"/>
          </w:tcPr>
          <w:p w14:paraId="7C8B5204" w14:textId="5BCE31F3" w:rsidR="00E84AD4" w:rsidRPr="00E84AD4" w:rsidRDefault="00E84AD4" w:rsidP="00E84AD4">
            <w:pPr>
              <w:rPr>
                <w:sz w:val="18"/>
                <w:szCs w:val="18"/>
              </w:rPr>
            </w:pPr>
            <w:r w:rsidRPr="002B0721">
              <w:rPr>
                <w:sz w:val="18"/>
                <w:szCs w:val="18"/>
              </w:rPr>
              <w:t>&lt;&lt;KITÖLTENDŐ&gt;&gt;</w:t>
            </w:r>
          </w:p>
        </w:tc>
        <w:tc>
          <w:tcPr>
            <w:tcW w:w="2191" w:type="dxa"/>
          </w:tcPr>
          <w:p w14:paraId="07D65AF8" w14:textId="105F2281"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392" w:type="dxa"/>
          </w:tcPr>
          <w:p w14:paraId="456C84C8" w14:textId="2CBB5F91"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171" w:type="dxa"/>
          </w:tcPr>
          <w:p w14:paraId="6F2EB855" w14:textId="2B4E1A10"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E84AD4" w:rsidRPr="00E84AD4" w14:paraId="0841E508" w14:textId="77777777" w:rsidTr="00930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53DEFC54" w14:textId="09A99247" w:rsidR="00E84AD4" w:rsidRPr="00E84AD4" w:rsidRDefault="00E84AD4" w:rsidP="00E84AD4">
            <w:pPr>
              <w:rPr>
                <w:sz w:val="18"/>
                <w:szCs w:val="18"/>
              </w:rPr>
            </w:pPr>
            <w:r w:rsidRPr="002B0721">
              <w:rPr>
                <w:sz w:val="18"/>
                <w:szCs w:val="18"/>
              </w:rPr>
              <w:t>&lt;&lt;KITÖLTENDŐ&gt;&gt;</w:t>
            </w:r>
          </w:p>
        </w:tc>
        <w:tc>
          <w:tcPr>
            <w:tcW w:w="2191" w:type="dxa"/>
          </w:tcPr>
          <w:p w14:paraId="2C82FDB4" w14:textId="495D744D"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2392" w:type="dxa"/>
          </w:tcPr>
          <w:p w14:paraId="384BBE67" w14:textId="214384E4"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2171" w:type="dxa"/>
          </w:tcPr>
          <w:p w14:paraId="4CD4515B" w14:textId="364DED47"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E84AD4" w:rsidRPr="00E84AD4" w14:paraId="688649E2" w14:textId="77777777" w:rsidTr="00930415">
        <w:tc>
          <w:tcPr>
            <w:cnfStyle w:val="001000000000" w:firstRow="0" w:lastRow="0" w:firstColumn="1" w:lastColumn="0" w:oddVBand="0" w:evenVBand="0" w:oddHBand="0" w:evenHBand="0" w:firstRowFirstColumn="0" w:firstRowLastColumn="0" w:lastRowFirstColumn="0" w:lastRowLastColumn="0"/>
            <w:tcW w:w="2308" w:type="dxa"/>
          </w:tcPr>
          <w:p w14:paraId="62FC16A2" w14:textId="34002978" w:rsidR="00E84AD4" w:rsidRPr="00E84AD4" w:rsidRDefault="00E84AD4" w:rsidP="00E84AD4">
            <w:pPr>
              <w:rPr>
                <w:sz w:val="18"/>
                <w:szCs w:val="18"/>
              </w:rPr>
            </w:pPr>
            <w:r w:rsidRPr="002B0721">
              <w:rPr>
                <w:sz w:val="18"/>
                <w:szCs w:val="18"/>
              </w:rPr>
              <w:t>&lt;&lt;KITÖLTENDŐ&gt;&gt;</w:t>
            </w:r>
          </w:p>
        </w:tc>
        <w:tc>
          <w:tcPr>
            <w:tcW w:w="2191" w:type="dxa"/>
          </w:tcPr>
          <w:p w14:paraId="7BFD1D90" w14:textId="0543AC20"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392" w:type="dxa"/>
          </w:tcPr>
          <w:p w14:paraId="38641FEA" w14:textId="102EFEB3"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171" w:type="dxa"/>
          </w:tcPr>
          <w:p w14:paraId="74291E8F" w14:textId="75EDDFE8"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E84AD4" w:rsidRPr="00E84AD4" w14:paraId="3300D9F7" w14:textId="77777777" w:rsidTr="00930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2CD5FB6" w14:textId="7DD91037" w:rsidR="00E84AD4" w:rsidRPr="00E84AD4" w:rsidRDefault="00E84AD4" w:rsidP="00E84AD4">
            <w:pPr>
              <w:rPr>
                <w:sz w:val="18"/>
                <w:szCs w:val="18"/>
              </w:rPr>
            </w:pPr>
            <w:r w:rsidRPr="002B0721">
              <w:rPr>
                <w:sz w:val="18"/>
                <w:szCs w:val="18"/>
              </w:rPr>
              <w:t>&lt;&lt;KITÖLTENDŐ&gt;&gt;</w:t>
            </w:r>
          </w:p>
        </w:tc>
        <w:tc>
          <w:tcPr>
            <w:tcW w:w="2191" w:type="dxa"/>
          </w:tcPr>
          <w:p w14:paraId="1BDD7F38" w14:textId="0B4FF8FB"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2392" w:type="dxa"/>
          </w:tcPr>
          <w:p w14:paraId="1B66405E" w14:textId="160F7759"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2171" w:type="dxa"/>
          </w:tcPr>
          <w:p w14:paraId="3CC02965" w14:textId="6A6253B7" w:rsidR="00E84AD4" w:rsidRPr="00E84AD4" w:rsidRDefault="00E84AD4" w:rsidP="00E84AD4">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E84AD4" w:rsidRPr="00E84AD4" w14:paraId="7CE71A4D" w14:textId="77777777" w:rsidTr="00930415">
        <w:tc>
          <w:tcPr>
            <w:cnfStyle w:val="001000000000" w:firstRow="0" w:lastRow="0" w:firstColumn="1" w:lastColumn="0" w:oddVBand="0" w:evenVBand="0" w:oddHBand="0" w:evenHBand="0" w:firstRowFirstColumn="0" w:firstRowLastColumn="0" w:lastRowFirstColumn="0" w:lastRowLastColumn="0"/>
            <w:tcW w:w="2308" w:type="dxa"/>
          </w:tcPr>
          <w:p w14:paraId="42B69D24" w14:textId="48004F32" w:rsidR="00E84AD4" w:rsidRPr="00E84AD4" w:rsidRDefault="00E84AD4" w:rsidP="00E84AD4">
            <w:pPr>
              <w:rPr>
                <w:sz w:val="18"/>
                <w:szCs w:val="18"/>
              </w:rPr>
            </w:pPr>
            <w:r w:rsidRPr="002B0721">
              <w:rPr>
                <w:sz w:val="18"/>
                <w:szCs w:val="18"/>
              </w:rPr>
              <w:t>&lt;&lt;KITÖLTENDŐ&gt;&gt;</w:t>
            </w:r>
          </w:p>
        </w:tc>
        <w:tc>
          <w:tcPr>
            <w:tcW w:w="2191" w:type="dxa"/>
          </w:tcPr>
          <w:p w14:paraId="72B741B2" w14:textId="4EEB1F15"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392" w:type="dxa"/>
          </w:tcPr>
          <w:p w14:paraId="7B603EC6" w14:textId="2D145461"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2171" w:type="dxa"/>
          </w:tcPr>
          <w:p w14:paraId="36552E89" w14:textId="7FF5C85A" w:rsidR="00E84AD4" w:rsidRPr="00E84AD4" w:rsidRDefault="00E84AD4" w:rsidP="00E84AD4">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48E908B0" w14:textId="77777777" w:rsidR="0092683F" w:rsidRPr="002B0721" w:rsidRDefault="0092683F" w:rsidP="00930415">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E84AD4" w:rsidRPr="00E84AD4" w14:paraId="11A56978" w14:textId="77777777" w:rsidTr="00930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EFF2693" w14:textId="51C1DDEF" w:rsidR="00E84AD4" w:rsidRPr="00E84AD4" w:rsidRDefault="00E84AD4" w:rsidP="00E84AD4">
            <w:pPr>
              <w:rPr>
                <w:sz w:val="18"/>
                <w:szCs w:val="18"/>
              </w:rPr>
            </w:pPr>
            <w:r w:rsidRPr="00E84AD4">
              <w:rPr>
                <w:sz w:val="18"/>
                <w:szCs w:val="18"/>
              </w:rPr>
              <w:t>ESG standard(ok)</w:t>
            </w:r>
          </w:p>
        </w:tc>
        <w:tc>
          <w:tcPr>
            <w:tcW w:w="3034" w:type="dxa"/>
          </w:tcPr>
          <w:p w14:paraId="0D7798B1" w14:textId="69D42DE7" w:rsidR="00E84AD4" w:rsidRPr="00E84AD4" w:rsidRDefault="00E84AD4" w:rsidP="00E84AD4">
            <w:pPr>
              <w:cnfStyle w:val="100000000000" w:firstRow="1" w:lastRow="0" w:firstColumn="0" w:lastColumn="0" w:oddVBand="0" w:evenVBand="0" w:oddHBand="0" w:evenHBand="0" w:firstRowFirstColumn="0" w:firstRowLastColumn="0" w:lastRowFirstColumn="0" w:lastRowLastColumn="0"/>
              <w:rPr>
                <w:sz w:val="18"/>
                <w:szCs w:val="18"/>
              </w:rPr>
            </w:pPr>
            <w:r w:rsidRPr="00E84AD4">
              <w:rPr>
                <w:sz w:val="18"/>
                <w:szCs w:val="18"/>
              </w:rPr>
              <w:t>Hogyan kapcsolódik a pillérhez?</w:t>
            </w:r>
          </w:p>
        </w:tc>
        <w:tc>
          <w:tcPr>
            <w:tcW w:w="3068" w:type="dxa"/>
          </w:tcPr>
          <w:p w14:paraId="4029761F" w14:textId="5832C504" w:rsidR="00E84AD4" w:rsidRPr="00E84AD4" w:rsidRDefault="00E84AD4" w:rsidP="00E84AD4">
            <w:pPr>
              <w:cnfStyle w:val="100000000000" w:firstRow="1" w:lastRow="0" w:firstColumn="0" w:lastColumn="0" w:oddVBand="0" w:evenVBand="0" w:oddHBand="0" w:evenHBand="0" w:firstRowFirstColumn="0" w:firstRowLastColumn="0" w:lastRowFirstColumn="0" w:lastRowLastColumn="0"/>
              <w:rPr>
                <w:sz w:val="18"/>
                <w:szCs w:val="18"/>
              </w:rPr>
            </w:pPr>
            <w:r w:rsidRPr="00E84AD4">
              <w:rPr>
                <w:sz w:val="18"/>
                <w:szCs w:val="18"/>
              </w:rPr>
              <w:t>Bizonyíték (fejezet/ábra/táblázat)</w:t>
            </w:r>
          </w:p>
        </w:tc>
      </w:tr>
      <w:tr w:rsidR="00E84AD4" w:rsidRPr="00E84AD4" w14:paraId="76B596CE" w14:textId="77777777" w:rsidTr="00930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1CBCAC8" w14:textId="26C4871D" w:rsidR="00E84AD4" w:rsidRPr="006058C4" w:rsidRDefault="00E84AD4" w:rsidP="00E84AD4">
            <w:pPr>
              <w:rPr>
                <w:sz w:val="18"/>
                <w:szCs w:val="18"/>
              </w:rPr>
            </w:pPr>
            <w:r w:rsidRPr="006058C4">
              <w:rPr>
                <w:sz w:val="18"/>
                <w:szCs w:val="18"/>
              </w:rPr>
              <w:t>1.2 A képzési programok kialakítása és jóváhagyása</w:t>
            </w:r>
          </w:p>
        </w:tc>
        <w:tc>
          <w:tcPr>
            <w:tcW w:w="3034" w:type="dxa"/>
          </w:tcPr>
          <w:p w14:paraId="522F183F" w14:textId="4499654D" w:rsidR="00E84AD4" w:rsidRPr="00096C8E" w:rsidRDefault="00E84AD4"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 hallgatói visszajelzések (csoportos projektmunka és ipari szoftverkörnyezet hiánya) közvetlen inputot adnak a tantervi tartalom és a tantárgyi tematikák felülvizsgálatához; a döntési opciók az érintetti jelzések alapján kerültek kialakításra</w:t>
            </w:r>
          </w:p>
        </w:tc>
        <w:tc>
          <w:tcPr>
            <w:tcW w:w="3068" w:type="dxa"/>
          </w:tcPr>
          <w:p w14:paraId="73C20E90" w14:textId="35EB2571" w:rsidR="00E84AD4" w:rsidRPr="00096C8E" w:rsidRDefault="001448C1"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B) KPI (</w:t>
            </w:r>
            <w:r w:rsidRPr="00096C8E">
              <w:rPr>
                <w:rStyle w:val="HTMLCode"/>
                <w:rFonts w:ascii="Palatino Linotype" w:eastAsiaTheme="majorEastAsia" w:hAnsi="Palatino Linotype"/>
                <w:color w:val="000000" w:themeColor="text1"/>
                <w:sz w:val="18"/>
                <w:szCs w:val="18"/>
                <w:highlight w:val="yellow"/>
              </w:rPr>
              <w:t>Munkaerőpiaci készségekhez való alkalmazkodási arány</w:t>
            </w:r>
            <w:r w:rsidRPr="00096C8E">
              <w:rPr>
                <w:sz w:val="18"/>
                <w:szCs w:val="18"/>
                <w:highlight w:val="yellow"/>
              </w:rPr>
              <w:t xml:space="preserve">); </w:t>
            </w:r>
            <w:r w:rsidR="00E84AD4" w:rsidRPr="00096C8E">
              <w:rPr>
                <w:sz w:val="18"/>
                <w:szCs w:val="18"/>
                <w:highlight w:val="yellow"/>
              </w:rPr>
              <w:t>D) Fő megállapítások; E) Döntési opciók</w:t>
            </w:r>
          </w:p>
        </w:tc>
      </w:tr>
      <w:tr w:rsidR="00E84AD4" w:rsidRPr="00E84AD4" w14:paraId="33C8C84F" w14:textId="77777777" w:rsidTr="00930415">
        <w:tc>
          <w:tcPr>
            <w:cnfStyle w:val="001000000000" w:firstRow="0" w:lastRow="0" w:firstColumn="1" w:lastColumn="0" w:oddVBand="0" w:evenVBand="0" w:oddHBand="0" w:evenHBand="0" w:firstRowFirstColumn="0" w:firstRowLastColumn="0" w:lastRowFirstColumn="0" w:lastRowLastColumn="0"/>
            <w:tcW w:w="2960" w:type="dxa"/>
          </w:tcPr>
          <w:p w14:paraId="2F675DA4" w14:textId="366EE707" w:rsidR="00E84AD4" w:rsidRPr="006058C4" w:rsidRDefault="00E84AD4" w:rsidP="00E84AD4">
            <w:pPr>
              <w:rPr>
                <w:sz w:val="18"/>
                <w:szCs w:val="18"/>
              </w:rPr>
            </w:pPr>
            <w:r w:rsidRPr="006058C4">
              <w:rPr>
                <w:sz w:val="18"/>
                <w:szCs w:val="18"/>
              </w:rPr>
              <w:t>1.3 Hallgatóközpontú tanulás, tanítás és értékelés</w:t>
            </w:r>
          </w:p>
        </w:tc>
        <w:tc>
          <w:tcPr>
            <w:tcW w:w="3034" w:type="dxa"/>
          </w:tcPr>
          <w:p w14:paraId="2B801959" w14:textId="52591073" w:rsidR="00E84AD4" w:rsidRPr="00096C8E" w:rsidRDefault="00E84AD4" w:rsidP="00E84AD4">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A pillér feltárja, hogy a hallgatók milyen tanítási és értékelési módszereket preferálnak, és hogy a jelenlegi gyakorlat mennyire igazodik ezekhez; a csúcsterhelési mutató és az NPS közvetlenül méri a hallgatóközpontú megközelítés érvényesülését</w:t>
            </w:r>
          </w:p>
        </w:tc>
        <w:tc>
          <w:tcPr>
            <w:tcW w:w="3068" w:type="dxa"/>
          </w:tcPr>
          <w:p w14:paraId="6C592AB8" w14:textId="54145E67" w:rsidR="00E84AD4" w:rsidRPr="00096C8E" w:rsidRDefault="00E84AD4" w:rsidP="00E84AD4">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B) KPI-ok (Hallgatói NPS; Csúcsterhelési elégedettségi arány); D) Fő megállapítások</w:t>
            </w:r>
          </w:p>
        </w:tc>
      </w:tr>
      <w:tr w:rsidR="00E84AD4" w:rsidRPr="00E84AD4" w14:paraId="18FF5CF9" w14:textId="77777777" w:rsidTr="00930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38B95518" w14:textId="57E199C6" w:rsidR="00E84AD4" w:rsidRPr="006058C4" w:rsidRDefault="00E84AD4" w:rsidP="00E84AD4">
            <w:pPr>
              <w:rPr>
                <w:sz w:val="18"/>
                <w:szCs w:val="18"/>
              </w:rPr>
            </w:pPr>
            <w:r w:rsidRPr="006058C4">
              <w:rPr>
                <w:sz w:val="18"/>
                <w:szCs w:val="18"/>
              </w:rPr>
              <w:t>1.4 A hallgatók felvétele, előrehaladása, tanulmányaik elismerése és a képesítés odaítélése</w:t>
            </w:r>
          </w:p>
        </w:tc>
        <w:tc>
          <w:tcPr>
            <w:tcW w:w="3034" w:type="dxa"/>
          </w:tcPr>
          <w:p w14:paraId="39023DC1" w14:textId="5DB70C20" w:rsidR="00E84AD4" w:rsidRPr="00096C8E" w:rsidRDefault="00E84AD4"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 kritikus tantárgyak és tanulmányi utak azonosítása, valamint az előfeltételi rend hiányosságainak feltárása közvetlenül hat a hallgatói előrehaladásra és a lemorzsolódási kockázatra</w:t>
            </w:r>
          </w:p>
        </w:tc>
        <w:tc>
          <w:tcPr>
            <w:tcW w:w="3068" w:type="dxa"/>
          </w:tcPr>
          <w:p w14:paraId="2607EC42" w14:textId="67817B59" w:rsidR="00E84AD4" w:rsidRPr="00096C8E" w:rsidRDefault="00E84AD4"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C) Elemzések (kritikus pontok); F) Kockázatok</w:t>
            </w:r>
          </w:p>
        </w:tc>
      </w:tr>
      <w:tr w:rsidR="00E84AD4" w:rsidRPr="00E84AD4" w14:paraId="15A5F444" w14:textId="77777777" w:rsidTr="00930415">
        <w:tc>
          <w:tcPr>
            <w:cnfStyle w:val="001000000000" w:firstRow="0" w:lastRow="0" w:firstColumn="1" w:lastColumn="0" w:oddVBand="0" w:evenVBand="0" w:oddHBand="0" w:evenHBand="0" w:firstRowFirstColumn="0" w:firstRowLastColumn="0" w:lastRowFirstColumn="0" w:lastRowLastColumn="0"/>
            <w:tcW w:w="2960" w:type="dxa"/>
          </w:tcPr>
          <w:p w14:paraId="179E6A64" w14:textId="7A79D245" w:rsidR="00E84AD4" w:rsidRPr="006058C4" w:rsidRDefault="00E84AD4" w:rsidP="00E84AD4">
            <w:pPr>
              <w:rPr>
                <w:sz w:val="18"/>
                <w:szCs w:val="18"/>
              </w:rPr>
            </w:pPr>
            <w:r w:rsidRPr="006058C4">
              <w:rPr>
                <w:sz w:val="18"/>
                <w:szCs w:val="18"/>
              </w:rPr>
              <w:t>1.6 Tanulástámogatás és hallgatói szolgáltatások</w:t>
            </w:r>
          </w:p>
        </w:tc>
        <w:tc>
          <w:tcPr>
            <w:tcW w:w="3034" w:type="dxa"/>
          </w:tcPr>
          <w:p w14:paraId="33643F11" w14:textId="0913F552" w:rsidR="00E84AD4" w:rsidRPr="00096C8E" w:rsidRDefault="00E84AD4" w:rsidP="00E84AD4">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A kutatói és TDK-bekapcsolódási lehetőségek láthatóságának és elérhetőségének vizsgálata, valamint a felzárkóztatási igények azonosítása a tanulástámogatási szolgáltatások fejlesztéséhez ad alapot</w:t>
            </w:r>
          </w:p>
        </w:tc>
        <w:tc>
          <w:tcPr>
            <w:tcW w:w="3068" w:type="dxa"/>
          </w:tcPr>
          <w:p w14:paraId="27D4469E" w14:textId="3917D0D7" w:rsidR="00E84AD4" w:rsidRPr="00096C8E" w:rsidRDefault="00E84AD4" w:rsidP="00E84AD4">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B) KPI-ok (</w:t>
            </w:r>
            <w:r w:rsidR="001448C1" w:rsidRPr="00096C8E">
              <w:rPr>
                <w:sz w:val="18"/>
                <w:szCs w:val="18"/>
                <w:highlight w:val="yellow"/>
              </w:rPr>
              <w:t xml:space="preserve">pl.: </w:t>
            </w:r>
            <w:r w:rsidRPr="00096C8E">
              <w:rPr>
                <w:sz w:val="18"/>
                <w:szCs w:val="18"/>
                <w:highlight w:val="yellow"/>
              </w:rPr>
              <w:t>TDK/kutatási részvételi arány); D) Fő megállapítások</w:t>
            </w:r>
          </w:p>
        </w:tc>
      </w:tr>
      <w:tr w:rsidR="00E84AD4" w:rsidRPr="00E84AD4" w14:paraId="3A7220C7" w14:textId="77777777" w:rsidTr="00930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A989884" w14:textId="4D153982" w:rsidR="00E84AD4" w:rsidRPr="006058C4" w:rsidRDefault="00E84AD4" w:rsidP="00E84AD4">
            <w:pPr>
              <w:rPr>
                <w:sz w:val="18"/>
                <w:szCs w:val="18"/>
              </w:rPr>
            </w:pPr>
            <w:r w:rsidRPr="006058C4">
              <w:rPr>
                <w:sz w:val="18"/>
                <w:szCs w:val="18"/>
              </w:rPr>
              <w:t>1.7 Információkezelés</w:t>
            </w:r>
          </w:p>
        </w:tc>
        <w:tc>
          <w:tcPr>
            <w:tcW w:w="3034" w:type="dxa"/>
          </w:tcPr>
          <w:p w14:paraId="6B1FC230" w14:textId="05EA5037" w:rsidR="00E84AD4" w:rsidRPr="00096C8E" w:rsidRDefault="00E84AD4"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 xml:space="preserve">A pillér adatforrásai (hallgatói </w:t>
            </w:r>
            <w:r w:rsidR="001448C1" w:rsidRPr="00096C8E">
              <w:rPr>
                <w:sz w:val="18"/>
                <w:szCs w:val="18"/>
                <w:highlight w:val="yellow"/>
              </w:rPr>
              <w:t>kérdőív</w:t>
            </w:r>
            <w:r w:rsidRPr="00096C8E">
              <w:rPr>
                <w:sz w:val="18"/>
                <w:szCs w:val="18"/>
                <w:highlight w:val="yellow"/>
              </w:rPr>
              <w:t xml:space="preserve">, </w:t>
            </w:r>
            <w:r w:rsidR="001448C1" w:rsidRPr="00096C8E">
              <w:rPr>
                <w:sz w:val="18"/>
                <w:szCs w:val="18"/>
                <w:highlight w:val="yellow"/>
              </w:rPr>
              <w:t>NEPTUN</w:t>
            </w:r>
            <w:r w:rsidRPr="00096C8E">
              <w:rPr>
                <w:sz w:val="18"/>
                <w:szCs w:val="18"/>
                <w:highlight w:val="yellow"/>
              </w:rPr>
              <w:t>, OMHV) és azok rendszeres gyűjtése, szegmentált elemzése és dokumentálása biztosítja a megalapozott döntéshozatalhoz szükséges információs infrastruktúrát</w:t>
            </w:r>
          </w:p>
        </w:tc>
        <w:tc>
          <w:tcPr>
            <w:tcW w:w="3068" w:type="dxa"/>
          </w:tcPr>
          <w:p w14:paraId="3C699B28" w14:textId="3DD8EA0A" w:rsidR="00E84AD4" w:rsidRPr="00096C8E" w:rsidRDefault="00E84AD4" w:rsidP="00E84AD4">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Bizonyíték-hivatkozások tábla</w:t>
            </w:r>
          </w:p>
        </w:tc>
      </w:tr>
      <w:tr w:rsidR="00E84AD4" w:rsidRPr="00E84AD4" w14:paraId="0173A3CA" w14:textId="77777777" w:rsidTr="00930415">
        <w:tc>
          <w:tcPr>
            <w:cnfStyle w:val="001000000000" w:firstRow="0" w:lastRow="0" w:firstColumn="1" w:lastColumn="0" w:oddVBand="0" w:evenVBand="0" w:oddHBand="0" w:evenHBand="0" w:firstRowFirstColumn="0" w:firstRowLastColumn="0" w:lastRowFirstColumn="0" w:lastRowLastColumn="0"/>
            <w:tcW w:w="2960" w:type="dxa"/>
          </w:tcPr>
          <w:p w14:paraId="47604490" w14:textId="1055FF06" w:rsidR="00E84AD4" w:rsidRPr="006058C4" w:rsidRDefault="00E84AD4" w:rsidP="00E84AD4">
            <w:pPr>
              <w:rPr>
                <w:sz w:val="18"/>
                <w:szCs w:val="18"/>
              </w:rPr>
            </w:pPr>
            <w:r w:rsidRPr="006058C4">
              <w:rPr>
                <w:sz w:val="18"/>
                <w:szCs w:val="18"/>
              </w:rPr>
              <w:t>1.9 A képzési programok folyamatos figyelemmel kísérése és rendszeres értékelése</w:t>
            </w:r>
          </w:p>
        </w:tc>
        <w:tc>
          <w:tcPr>
            <w:tcW w:w="3034" w:type="dxa"/>
          </w:tcPr>
          <w:p w14:paraId="53333316" w14:textId="06949F32" w:rsidR="00E84AD4" w:rsidRPr="00096C8E" w:rsidRDefault="00E84AD4" w:rsidP="00E84AD4">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 xml:space="preserve">A visszacsatolási napló, a KPI-ok éves </w:t>
            </w:r>
            <w:proofErr w:type="spellStart"/>
            <w:r w:rsidRPr="00096C8E">
              <w:rPr>
                <w:sz w:val="18"/>
                <w:szCs w:val="18"/>
                <w:highlight w:val="yellow"/>
              </w:rPr>
              <w:t>monitoringja</w:t>
            </w:r>
            <w:proofErr w:type="spellEnd"/>
            <w:r w:rsidRPr="00096C8E">
              <w:rPr>
                <w:sz w:val="18"/>
                <w:szCs w:val="18"/>
                <w:highlight w:val="yellow"/>
              </w:rPr>
              <w:t xml:space="preserve"> és a döntési opciók státuszkövetése együttesen alkotják a folyamatos minőségfigyelés mechanizmusát ezen a pillérén belül.</w:t>
            </w:r>
          </w:p>
        </w:tc>
        <w:tc>
          <w:tcPr>
            <w:tcW w:w="3068" w:type="dxa"/>
          </w:tcPr>
          <w:p w14:paraId="6E3BA69C" w14:textId="784A8CED" w:rsidR="00E84AD4" w:rsidRPr="00096C8E" w:rsidRDefault="00E84AD4" w:rsidP="00E84AD4">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Visszacsatolási napló; B) KPI-ok (célérték és bázisérték); F) Kockázatok</w:t>
            </w:r>
          </w:p>
        </w:tc>
      </w:tr>
    </w:tbl>
    <w:p w14:paraId="4C5F2C43" w14:textId="77777777" w:rsidR="008B0EAA" w:rsidRDefault="008B0EAA" w:rsidP="00FA0472">
      <w:pPr>
        <w:pStyle w:val="Heading2"/>
      </w:pPr>
    </w:p>
    <w:p w14:paraId="7A31E2CD" w14:textId="77777777" w:rsidR="008B0EAA" w:rsidRDefault="008B0EAA">
      <w:pPr>
        <w:spacing w:after="160" w:line="259" w:lineRule="auto"/>
        <w:jc w:val="left"/>
        <w:rPr>
          <w:rFonts w:eastAsiaTheme="majorEastAsia" w:cstheme="majorBidi"/>
          <w:b/>
          <w:color w:val="C00000"/>
          <w:szCs w:val="32"/>
        </w:rPr>
      </w:pPr>
      <w:r>
        <w:br w:type="page"/>
      </w:r>
    </w:p>
    <w:p w14:paraId="66D6BD52" w14:textId="77777777" w:rsidR="00FA0472" w:rsidRPr="002B0721" w:rsidRDefault="00FA0472" w:rsidP="00FA0472">
      <w:pPr>
        <w:pStyle w:val="Heading2"/>
      </w:pPr>
      <w:r w:rsidRPr="002B0721">
        <w:t>2. pillér - Oktatói nézőpont: tartalom, szerkezet, értékelés, pedagógiai innováció</w:t>
      </w:r>
    </w:p>
    <w:p w14:paraId="25230419" w14:textId="77777777" w:rsidR="00593570" w:rsidRDefault="00032A4C">
      <w:pPr>
        <w:pStyle w:val="Infobox"/>
      </w:pPr>
      <w:r>
        <w:t xml:space="preserve">INFOBOX: Ez a pillér azt vizsgálja, hogyan látják az oktatók a tanterv tartalmi koherenciáját, megvalósíthatóságát és fejlesztési szükségleteit. Érdemes bemutatni, hogy hol vannak tartalmi átfedések vagy hiányok, mennyire </w:t>
      </w:r>
      <w:proofErr w:type="spellStart"/>
      <w:r>
        <w:t>világosak</w:t>
      </w:r>
      <w:proofErr w:type="spellEnd"/>
      <w:r>
        <w:t xml:space="preserve"> a tantárgyi és programszintű tanulási eredmények, és milyen az értékelési gyakorlat minősége. Térjen ki az oktatói terhelésre, a pedagógiai innovációk alkalmazására, valamint arra is, milyen támogatás szükséges az oktatók számára a megújításhoz. A fejezet célja nem pusztán az oktatói vélemények összegzése, hanem a tantervi és módszertani fejlesztés szakmai megalapozása. </w:t>
      </w:r>
    </w:p>
    <w:p w14:paraId="5729CD87" w14:textId="61E4E49B" w:rsidR="00DA0DBC" w:rsidRDefault="00032A4C">
      <w:pPr>
        <w:pStyle w:val="Infobox"/>
      </w:pPr>
      <w:r>
        <w:t>Kapcsolódó ESG: 1.2 A képzési programok kialakítása és jóváhagyása, 1.3 Hallgatóközpontú tanulás, tanítás és értékelés, 1.5 Oktatók, 1.9 A képzési programok folyamatos figyelemmel kísérése és rendszeres értékelése.</w:t>
      </w:r>
    </w:p>
    <w:p w14:paraId="0E22C542" w14:textId="77777777" w:rsidR="00FA0472" w:rsidRPr="002B0721" w:rsidRDefault="00FA0472" w:rsidP="00FA0472">
      <w:pPr>
        <w:pStyle w:val="Heading3"/>
      </w:pPr>
      <w:r w:rsidRPr="002B0721">
        <w:t>A) Cél és kulcskérdések</w:t>
      </w:r>
    </w:p>
    <w:p w14:paraId="66F61D70" w14:textId="2725B066" w:rsidR="00FA0472" w:rsidRPr="002B0721" w:rsidRDefault="00FA0472" w:rsidP="00FA0472">
      <w:r w:rsidRPr="002B0721">
        <w:rPr>
          <w:i/>
          <w:color w:val="005A9C"/>
        </w:rPr>
        <w:t>&lt;&lt;</w:t>
      </w:r>
      <w:proofErr w:type="spellStart"/>
      <w:r w:rsidRPr="002B0721">
        <w:rPr>
          <w:i/>
          <w:color w:val="005A9C"/>
        </w:rPr>
        <w:t>max</w:t>
      </w:r>
      <w:proofErr w:type="spellEnd"/>
      <w:r w:rsidRPr="002B0721">
        <w:rPr>
          <w:i/>
          <w:color w:val="005A9C"/>
        </w:rPr>
        <w:t>. 5 kérdés&gt;&gt;</w:t>
      </w:r>
      <w:r w:rsidR="00EC4161">
        <w:rPr>
          <w:i/>
          <w:color w:val="005A9C"/>
        </w:rPr>
        <w:t xml:space="preserve"> </w:t>
      </w:r>
    </w:p>
    <w:p w14:paraId="213DCAFF" w14:textId="26B33865" w:rsidR="00EC4161" w:rsidRDefault="00EC4161" w:rsidP="00EC4161">
      <w:pPr>
        <w:pStyle w:val="ListParagraph"/>
        <w:numPr>
          <w:ilvl w:val="0"/>
          <w:numId w:val="3"/>
        </w:numPr>
        <w:rPr>
          <w:highlight w:val="yellow"/>
        </w:rPr>
      </w:pPr>
      <w:r w:rsidRPr="00EC4161">
        <w:rPr>
          <w:highlight w:val="yellow"/>
        </w:rPr>
        <w:t>Mennyire koherens a tanterv tartalma az oktatók megítélése szerint: azonosíthatók-e tartalmi átfedések, hiányok vagy rosszul elhelyezett tantárgyak a mintatantervben?</w:t>
      </w:r>
    </w:p>
    <w:p w14:paraId="56A55C95" w14:textId="461B29D3" w:rsidR="006D032B" w:rsidRPr="006D032B" w:rsidRDefault="006D032B" w:rsidP="006D032B">
      <w:pPr>
        <w:pStyle w:val="ListParagraph"/>
        <w:numPr>
          <w:ilvl w:val="0"/>
          <w:numId w:val="3"/>
        </w:numPr>
        <w:rPr>
          <w:highlight w:val="yellow"/>
        </w:rPr>
      </w:pPr>
      <w:r w:rsidRPr="006D032B">
        <w:rPr>
          <w:highlight w:val="yellow"/>
        </w:rPr>
        <w:t>Mennyire egyértelműek a tantárgyi és programszintű tanulási eredmények?</w:t>
      </w:r>
    </w:p>
    <w:p w14:paraId="132B5480" w14:textId="764AFBEE" w:rsidR="00EC4161" w:rsidRDefault="00EC4161" w:rsidP="00EC4161">
      <w:pPr>
        <w:pStyle w:val="ListParagraph"/>
        <w:numPr>
          <w:ilvl w:val="0"/>
          <w:numId w:val="3"/>
        </w:numPr>
        <w:rPr>
          <w:highlight w:val="yellow"/>
        </w:rPr>
      </w:pPr>
      <w:r w:rsidRPr="00EC4161">
        <w:rPr>
          <w:highlight w:val="yellow"/>
        </w:rPr>
        <w:t>Milyen pedagógiai innovációk vannak jelen a képzésben, és milyen feltételek szükségesek ezek szélesebb körű elterjesztéséhez?</w:t>
      </w:r>
    </w:p>
    <w:p w14:paraId="35E3A980" w14:textId="77777777" w:rsidR="007906A7" w:rsidRPr="00AC0F51" w:rsidRDefault="007906A7" w:rsidP="007906A7">
      <w:pPr>
        <w:pStyle w:val="ListParagraph"/>
        <w:numPr>
          <w:ilvl w:val="0"/>
          <w:numId w:val="3"/>
        </w:numPr>
        <w:rPr>
          <w:highlight w:val="yellow"/>
        </w:rPr>
      </w:pPr>
      <w:r w:rsidRPr="00AC0F51">
        <w:rPr>
          <w:highlight w:val="yellow"/>
        </w:rPr>
        <w:t>Mekkora az oktatói terhelés, és hol akadálya ez az innovációnak?</w:t>
      </w:r>
    </w:p>
    <w:p w14:paraId="79EA6B17" w14:textId="77777777" w:rsidR="007906A7" w:rsidRPr="007906A7" w:rsidRDefault="007906A7" w:rsidP="007906A7">
      <w:pPr>
        <w:pStyle w:val="ListParagraph"/>
        <w:numPr>
          <w:ilvl w:val="0"/>
          <w:numId w:val="3"/>
        </w:numPr>
        <w:rPr>
          <w:iCs/>
          <w:highlight w:val="yellow"/>
        </w:rPr>
      </w:pPr>
      <w:r w:rsidRPr="00906D88">
        <w:rPr>
          <w:highlight w:val="yellow"/>
        </w:rPr>
        <w:t>Mennyire illeszkednek a tantárgyi értékelések a deklarált tantárgyi és programszintű tanulási eredményekhez, és hol dominál még mindig a puszta ismeret-visszaadás?</w:t>
      </w:r>
    </w:p>
    <w:p w14:paraId="311B3829" w14:textId="77777777" w:rsidR="007906A7" w:rsidRPr="00906D88" w:rsidRDefault="007906A7" w:rsidP="007906A7">
      <w:pPr>
        <w:ind w:left="1416"/>
        <w:rPr>
          <w:i/>
          <w:iCs/>
          <w:color w:val="005A9C"/>
          <w:highlight w:val="yellow"/>
        </w:rPr>
      </w:pPr>
      <w:r w:rsidRPr="00906D88">
        <w:rPr>
          <w:i/>
          <w:iCs/>
          <w:highlight w:val="yellow"/>
        </w:rPr>
        <w:t xml:space="preserve">Fejlesztési cél: feltárja, hogy a program valóban azt méri-e, amit fejleszteni kíván. Támogatja az </w:t>
      </w:r>
      <w:proofErr w:type="spellStart"/>
      <w:r w:rsidRPr="00906D88">
        <w:rPr>
          <w:i/>
          <w:iCs/>
          <w:highlight w:val="yellow"/>
        </w:rPr>
        <w:t>outcome</w:t>
      </w:r>
      <w:proofErr w:type="spellEnd"/>
      <w:r w:rsidRPr="00906D88">
        <w:rPr>
          <w:i/>
          <w:iCs/>
          <w:highlight w:val="yellow"/>
        </w:rPr>
        <w:t>-alapú programtervezés és értékelés megerősítését.</w:t>
      </w:r>
    </w:p>
    <w:p w14:paraId="7C463876" w14:textId="77777777" w:rsidR="007906A7" w:rsidRPr="007906A7" w:rsidRDefault="007906A7" w:rsidP="007906A7">
      <w:pPr>
        <w:pStyle w:val="ListParagraph"/>
        <w:numPr>
          <w:ilvl w:val="0"/>
          <w:numId w:val="3"/>
        </w:numPr>
        <w:rPr>
          <w:iCs/>
          <w:highlight w:val="yellow"/>
        </w:rPr>
      </w:pPr>
      <w:r w:rsidRPr="00906D88">
        <w:rPr>
          <w:highlight w:val="yellow"/>
        </w:rPr>
        <w:t xml:space="preserve">Hol hiányzik a tantárgyak közötti horizontális és vertikális koordináció (előismeretek, </w:t>
      </w:r>
      <w:proofErr w:type="spellStart"/>
      <w:r w:rsidRPr="00906D88">
        <w:rPr>
          <w:highlight w:val="yellow"/>
        </w:rPr>
        <w:t>egymásraépülés</w:t>
      </w:r>
      <w:proofErr w:type="spellEnd"/>
      <w:r w:rsidRPr="00906D88">
        <w:rPr>
          <w:highlight w:val="yellow"/>
        </w:rPr>
        <w:t>, párhuzamosság, felelősségmegosztás)?</w:t>
      </w:r>
    </w:p>
    <w:p w14:paraId="2CF0F038" w14:textId="77777777" w:rsidR="007906A7" w:rsidRPr="00906D88" w:rsidRDefault="007906A7" w:rsidP="007906A7">
      <w:pPr>
        <w:ind w:left="1416"/>
        <w:rPr>
          <w:i/>
          <w:iCs/>
          <w:color w:val="005A9C"/>
          <w:highlight w:val="yellow"/>
        </w:rPr>
      </w:pPr>
      <w:r w:rsidRPr="00906D88">
        <w:rPr>
          <w:i/>
          <w:iCs/>
          <w:highlight w:val="yellow"/>
        </w:rPr>
        <w:t>Fejlesztési cél: csökkenti a tartalmi átfedéseket és hiányokat, valamint erősíti a hallgatói tanulási út koherenciáját.</w:t>
      </w:r>
    </w:p>
    <w:p w14:paraId="323C56CE" w14:textId="77777777" w:rsidR="007906A7" w:rsidRPr="007906A7" w:rsidRDefault="007906A7" w:rsidP="007906A7">
      <w:pPr>
        <w:pStyle w:val="ListParagraph"/>
        <w:numPr>
          <w:ilvl w:val="0"/>
          <w:numId w:val="3"/>
        </w:numPr>
        <w:rPr>
          <w:iCs/>
          <w:highlight w:val="yellow"/>
        </w:rPr>
      </w:pPr>
      <w:r w:rsidRPr="00906D88">
        <w:rPr>
          <w:highlight w:val="yellow"/>
        </w:rPr>
        <w:t>Mely pedagógiai innovációk bizonyultak működőképesnek, és milyen szervezeti vagy erőforrás-feltételek hiányoznak a szélesebb körű skálázásukhoz?</w:t>
      </w:r>
    </w:p>
    <w:p w14:paraId="4FDAFB18" w14:textId="77777777" w:rsidR="007906A7" w:rsidRPr="00E76CE9" w:rsidRDefault="007906A7" w:rsidP="007906A7">
      <w:pPr>
        <w:ind w:left="1416"/>
        <w:rPr>
          <w:i/>
          <w:iCs/>
          <w:color w:val="005A9C"/>
        </w:rPr>
      </w:pPr>
      <w:r w:rsidRPr="00906D88">
        <w:rPr>
          <w:i/>
          <w:iCs/>
          <w:highlight w:val="yellow"/>
        </w:rPr>
        <w:t>Fejlesztési cél: az egyéni jó gyakorlatokból programszintű megoldások építhetők. Segít priorizálni az oktatásfejlesztési támogatást és az oktatói kapacitásfejlesztést.</w:t>
      </w:r>
    </w:p>
    <w:p w14:paraId="793F8898" w14:textId="77777777" w:rsidR="007906A7" w:rsidRPr="002B0721" w:rsidRDefault="007906A7" w:rsidP="007906A7">
      <w:pPr>
        <w:pStyle w:val="ListParagraph"/>
        <w:numPr>
          <w:ilvl w:val="0"/>
          <w:numId w:val="3"/>
        </w:numPr>
      </w:pPr>
      <w:r w:rsidRPr="002B0721">
        <w:t>&lt;&lt;KITÖLTENDŐ&gt;&gt;</w:t>
      </w:r>
    </w:p>
    <w:p w14:paraId="0B609810" w14:textId="77777777" w:rsidR="00FA0472" w:rsidRPr="002B0721" w:rsidRDefault="00FA0472" w:rsidP="00FA0472">
      <w:pPr>
        <w:pStyle w:val="Heading3"/>
      </w:pPr>
      <w:r w:rsidRPr="002B0721">
        <w:t>B) KPI-ok / mutatók</w:t>
      </w:r>
    </w:p>
    <w:p w14:paraId="13B65629" w14:textId="77777777" w:rsidR="00FA0472" w:rsidRPr="002B0721" w:rsidRDefault="00FA0472" w:rsidP="00FA0472">
      <w:r w:rsidRPr="002B0721">
        <w:t>KPI / mutató tábla (trend + benchmark)</w:t>
      </w:r>
    </w:p>
    <w:tbl>
      <w:tblPr>
        <w:tblStyle w:val="GridTable5Dark-Accent1"/>
        <w:tblW w:w="0" w:type="auto"/>
        <w:tblLook w:val="04A0" w:firstRow="1" w:lastRow="0" w:firstColumn="1" w:lastColumn="0" w:noHBand="0" w:noVBand="1"/>
      </w:tblPr>
      <w:tblGrid>
        <w:gridCol w:w="1162"/>
        <w:gridCol w:w="1286"/>
        <w:gridCol w:w="1226"/>
        <w:gridCol w:w="712"/>
        <w:gridCol w:w="994"/>
        <w:gridCol w:w="1259"/>
        <w:gridCol w:w="1259"/>
        <w:gridCol w:w="1164"/>
      </w:tblGrid>
      <w:tr w:rsidR="00EC4161" w:rsidRPr="00EC4161" w14:paraId="03FAB89C" w14:textId="77777777" w:rsidTr="00EC4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55142D26" w14:textId="5CED091F" w:rsidR="00EC4161" w:rsidRPr="00EC4161" w:rsidRDefault="00EC4161" w:rsidP="00EC4161">
            <w:pPr>
              <w:rPr>
                <w:sz w:val="18"/>
                <w:szCs w:val="18"/>
              </w:rPr>
            </w:pPr>
            <w:r w:rsidRPr="00EC4161">
              <w:rPr>
                <w:sz w:val="18"/>
                <w:szCs w:val="18"/>
              </w:rPr>
              <w:t>Mutató neve</w:t>
            </w:r>
          </w:p>
        </w:tc>
        <w:tc>
          <w:tcPr>
            <w:tcW w:w="1172" w:type="dxa"/>
          </w:tcPr>
          <w:p w14:paraId="0214E4DF" w14:textId="3A7EF7A5" w:rsidR="00EC4161" w:rsidRPr="00EC4161" w:rsidRDefault="00EC4161" w:rsidP="00EC4161">
            <w:pP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Definíció</w:t>
            </w:r>
          </w:p>
        </w:tc>
        <w:tc>
          <w:tcPr>
            <w:tcW w:w="1172" w:type="dxa"/>
          </w:tcPr>
          <w:p w14:paraId="769CFF39" w14:textId="000710D0" w:rsidR="00EC4161" w:rsidRPr="00EC4161" w:rsidRDefault="00EC4161" w:rsidP="00EC4161">
            <w:pP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Adatforrás</w:t>
            </w:r>
          </w:p>
        </w:tc>
        <w:tc>
          <w:tcPr>
            <w:tcW w:w="1172" w:type="dxa"/>
          </w:tcPr>
          <w:p w14:paraId="7FF82118" w14:textId="2A039DD7" w:rsidR="00EC4161" w:rsidRPr="00EC4161" w:rsidRDefault="00EC4161" w:rsidP="00EC4161">
            <w:pP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Időablak</w:t>
            </w:r>
          </w:p>
        </w:tc>
        <w:tc>
          <w:tcPr>
            <w:tcW w:w="1172" w:type="dxa"/>
          </w:tcPr>
          <w:p w14:paraId="6D1AA282" w14:textId="75AD4965" w:rsidR="00EC4161" w:rsidRPr="00EC4161" w:rsidRDefault="00EC4161" w:rsidP="00EC4161">
            <w:pP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Szegmentáció</w:t>
            </w:r>
          </w:p>
        </w:tc>
        <w:tc>
          <w:tcPr>
            <w:tcW w:w="1172" w:type="dxa"/>
          </w:tcPr>
          <w:p w14:paraId="31D93AC1" w14:textId="697B6F90" w:rsidR="00EC4161" w:rsidRPr="00EC4161" w:rsidRDefault="00EC4161" w:rsidP="00EC4161">
            <w:pP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Bázisérték</w:t>
            </w:r>
          </w:p>
        </w:tc>
        <w:tc>
          <w:tcPr>
            <w:tcW w:w="1172" w:type="dxa"/>
          </w:tcPr>
          <w:p w14:paraId="75AFDCBF" w14:textId="5758603E" w:rsidR="00EC4161" w:rsidRPr="00EC4161" w:rsidRDefault="00EC4161" w:rsidP="00EC4161">
            <w:pP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Célérték</w:t>
            </w:r>
          </w:p>
        </w:tc>
        <w:tc>
          <w:tcPr>
            <w:tcW w:w="819" w:type="dxa"/>
          </w:tcPr>
          <w:p w14:paraId="76B47508" w14:textId="31AF73B4" w:rsidR="00EC4161" w:rsidRPr="00EC4161" w:rsidRDefault="00EC4161" w:rsidP="00EC4161">
            <w:pP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Megjegyzés</w:t>
            </w:r>
          </w:p>
        </w:tc>
      </w:tr>
      <w:tr w:rsidR="005E36B0" w:rsidRPr="00EC4161" w14:paraId="27C7A6D3" w14:textId="77777777" w:rsidTr="00EC4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00733033" w14:textId="77777777" w:rsidR="000E3AA9" w:rsidRPr="00032A4C" w:rsidRDefault="00032A4C">
            <w:pPr>
              <w:rPr>
                <w:sz w:val="18"/>
                <w:szCs w:val="18"/>
                <w:highlight w:val="yellow"/>
              </w:rPr>
            </w:pPr>
            <w:r w:rsidRPr="00032A4C">
              <w:rPr>
                <w:sz w:val="18"/>
                <w:szCs w:val="18"/>
                <w:highlight w:val="yellow"/>
              </w:rPr>
              <w:t>Szükségtelennek ítélt tartalmi átfedés aránya</w:t>
            </w:r>
          </w:p>
        </w:tc>
        <w:tc>
          <w:tcPr>
            <w:tcW w:w="1172" w:type="dxa"/>
          </w:tcPr>
          <w:p w14:paraId="5E0CD18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Azon tantárgyak aránya, amelyeknél az oktatói áttekintés vagy a hallgatói visszajelzések alapján érdemi, nem indokolt tartalmi ismétlés azonosítható.</w:t>
            </w:r>
          </w:p>
        </w:tc>
        <w:tc>
          <w:tcPr>
            <w:tcW w:w="1172" w:type="dxa"/>
          </w:tcPr>
          <w:p w14:paraId="2CCEAF9D"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OMHV eredmények; tantárgyi adatlapok (TAD); oktatói fókuszcsoport</w:t>
            </w:r>
          </w:p>
        </w:tc>
        <w:tc>
          <w:tcPr>
            <w:tcW w:w="1172" w:type="dxa"/>
          </w:tcPr>
          <w:p w14:paraId="1033E63E"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2023–2025</w:t>
            </w:r>
          </w:p>
        </w:tc>
        <w:tc>
          <w:tcPr>
            <w:tcW w:w="1172" w:type="dxa"/>
          </w:tcPr>
          <w:p w14:paraId="32148196"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Tárgycsoport; félév; szakirány</w:t>
            </w:r>
          </w:p>
        </w:tc>
        <w:tc>
          <w:tcPr>
            <w:tcW w:w="1172" w:type="dxa"/>
          </w:tcPr>
          <w:p w14:paraId="57BC1FA6"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6716FA12"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77846B6A"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tantervi racionalizálás támogatására</w:t>
            </w:r>
          </w:p>
        </w:tc>
      </w:tr>
      <w:tr w:rsidR="005E36B0" w:rsidRPr="00EC4161" w14:paraId="492E0835" w14:textId="77777777" w:rsidTr="00EC4161">
        <w:tc>
          <w:tcPr>
            <w:cnfStyle w:val="001000000000" w:firstRow="0" w:lastRow="0" w:firstColumn="1" w:lastColumn="0" w:oddVBand="0" w:evenVBand="0" w:oddHBand="0" w:evenHBand="0" w:firstRowFirstColumn="0" w:firstRowLastColumn="0" w:lastRowFirstColumn="0" w:lastRowLastColumn="0"/>
            <w:tcW w:w="1211" w:type="dxa"/>
          </w:tcPr>
          <w:p w14:paraId="2E19AA69" w14:textId="77777777" w:rsidR="000E3AA9" w:rsidRPr="00032A4C" w:rsidRDefault="00032A4C">
            <w:pPr>
              <w:rPr>
                <w:sz w:val="18"/>
                <w:szCs w:val="18"/>
                <w:highlight w:val="yellow"/>
              </w:rPr>
            </w:pPr>
            <w:r w:rsidRPr="00032A4C">
              <w:rPr>
                <w:sz w:val="18"/>
                <w:szCs w:val="18"/>
                <w:highlight w:val="yellow"/>
              </w:rPr>
              <w:t>Tanulási eredmény–értékelés illeszkedési index</w:t>
            </w:r>
          </w:p>
        </w:tc>
        <w:tc>
          <w:tcPr>
            <w:tcW w:w="1172" w:type="dxa"/>
          </w:tcPr>
          <w:p w14:paraId="29AB3D03"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kötelező tantárgyak aránya, ahol a TAD alapján a deklarált tanulási eredményekhez illeszkedő értékelési mód(ok) egyértelműen megjelennek.</w:t>
            </w:r>
          </w:p>
        </w:tc>
        <w:tc>
          <w:tcPr>
            <w:tcW w:w="1172" w:type="dxa"/>
          </w:tcPr>
          <w:p w14:paraId="29505EC7"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Tantárgyi adatlapok (TAD); tantárgyi tematikák</w:t>
            </w:r>
          </w:p>
        </w:tc>
        <w:tc>
          <w:tcPr>
            <w:tcW w:w="1172" w:type="dxa"/>
          </w:tcPr>
          <w:p w14:paraId="0B50C519"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34A60A87"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Kötelező / kötelezően választható; tárgytípus</w:t>
            </w:r>
          </w:p>
        </w:tc>
        <w:tc>
          <w:tcPr>
            <w:tcW w:w="1172" w:type="dxa"/>
          </w:tcPr>
          <w:p w14:paraId="60EEAA98"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3F1362FC"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65C92840"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Outcome-alapú fejlesztés mérésére</w:t>
            </w:r>
          </w:p>
        </w:tc>
      </w:tr>
      <w:tr w:rsidR="005E36B0" w:rsidRPr="00EC4161" w14:paraId="30DAA5D4" w14:textId="77777777" w:rsidTr="00EC4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7119FCC2" w14:textId="77777777" w:rsidR="000E3AA9" w:rsidRPr="00032A4C" w:rsidRDefault="00032A4C">
            <w:pPr>
              <w:rPr>
                <w:sz w:val="18"/>
                <w:szCs w:val="18"/>
                <w:highlight w:val="yellow"/>
              </w:rPr>
            </w:pPr>
            <w:r w:rsidRPr="00032A4C">
              <w:rPr>
                <w:sz w:val="18"/>
                <w:szCs w:val="18"/>
                <w:highlight w:val="yellow"/>
              </w:rPr>
              <w:t>Formatív értékelést alkalmazó tantárgyak aránya</w:t>
            </w:r>
          </w:p>
        </w:tc>
        <w:tc>
          <w:tcPr>
            <w:tcW w:w="1172" w:type="dxa"/>
          </w:tcPr>
          <w:p w14:paraId="0D0292B2"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Azon tantárgyak aránya, ahol a félév során visszacsatolást adó részfeladat, próbaértékelés vagy iteratív beadás jelenik meg.</w:t>
            </w:r>
          </w:p>
        </w:tc>
        <w:tc>
          <w:tcPr>
            <w:tcW w:w="1172" w:type="dxa"/>
          </w:tcPr>
          <w:p w14:paraId="36C25FA7"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Tantárgyi adatlapok (TAD); OMHV eredmények</w:t>
            </w:r>
          </w:p>
        </w:tc>
        <w:tc>
          <w:tcPr>
            <w:tcW w:w="1172" w:type="dxa"/>
          </w:tcPr>
          <w:p w14:paraId="59DC4AD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2023–2025</w:t>
            </w:r>
          </w:p>
        </w:tc>
        <w:tc>
          <w:tcPr>
            <w:tcW w:w="1172" w:type="dxa"/>
          </w:tcPr>
          <w:p w14:paraId="73308E72"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Tantárgytípus; félév</w:t>
            </w:r>
          </w:p>
        </w:tc>
        <w:tc>
          <w:tcPr>
            <w:tcW w:w="1172" w:type="dxa"/>
          </w:tcPr>
          <w:p w14:paraId="28D591E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244BAA6E"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05D6116F"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hallgatóközpontú tanulás támogatására</w:t>
            </w:r>
          </w:p>
        </w:tc>
      </w:tr>
      <w:tr w:rsidR="005E36B0" w:rsidRPr="00EC4161" w14:paraId="7970828F" w14:textId="77777777" w:rsidTr="00EC4161">
        <w:tc>
          <w:tcPr>
            <w:cnfStyle w:val="001000000000" w:firstRow="0" w:lastRow="0" w:firstColumn="1" w:lastColumn="0" w:oddVBand="0" w:evenVBand="0" w:oddHBand="0" w:evenHBand="0" w:firstRowFirstColumn="0" w:firstRowLastColumn="0" w:lastRowFirstColumn="0" w:lastRowLastColumn="0"/>
            <w:tcW w:w="1211" w:type="dxa"/>
          </w:tcPr>
          <w:p w14:paraId="00679024" w14:textId="77777777" w:rsidR="000E3AA9" w:rsidRPr="00032A4C" w:rsidRDefault="00032A4C">
            <w:pPr>
              <w:rPr>
                <w:sz w:val="18"/>
                <w:szCs w:val="18"/>
                <w:highlight w:val="yellow"/>
              </w:rPr>
            </w:pPr>
            <w:r w:rsidRPr="00032A4C">
              <w:rPr>
                <w:sz w:val="18"/>
                <w:szCs w:val="18"/>
                <w:highlight w:val="yellow"/>
              </w:rPr>
              <w:t>Pedagógiai innovációval működő tantárgyak aránya</w:t>
            </w:r>
          </w:p>
        </w:tc>
        <w:tc>
          <w:tcPr>
            <w:tcW w:w="1172" w:type="dxa"/>
          </w:tcPr>
          <w:p w14:paraId="20116D20"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tantárgyak aránya, ahol projektalapú, problémaalapú, flipped vagy digitálisan támogatott oktatási megoldás jelenik meg.</w:t>
            </w:r>
          </w:p>
        </w:tc>
        <w:tc>
          <w:tcPr>
            <w:tcW w:w="1172" w:type="dxa"/>
          </w:tcPr>
          <w:p w14:paraId="5794395F"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Tantárgyi adatlapok (TAD); oktatói fókuszcsoport</w:t>
            </w:r>
          </w:p>
        </w:tc>
        <w:tc>
          <w:tcPr>
            <w:tcW w:w="1172" w:type="dxa"/>
          </w:tcPr>
          <w:p w14:paraId="6C69C415"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309439EA"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Tantárgytípus; képzési szint</w:t>
            </w:r>
          </w:p>
        </w:tc>
        <w:tc>
          <w:tcPr>
            <w:tcW w:w="1172" w:type="dxa"/>
          </w:tcPr>
          <w:p w14:paraId="417E8938"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2E630090"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2719584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működő jó gyakorlatok láthatóvá tételére</w:t>
            </w:r>
          </w:p>
        </w:tc>
      </w:tr>
      <w:tr w:rsidR="005E36B0" w:rsidRPr="00EC4161" w14:paraId="48D657FF" w14:textId="77777777" w:rsidTr="00EC4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125C459B" w14:textId="77777777" w:rsidR="000E3AA9" w:rsidRPr="00032A4C" w:rsidRDefault="00032A4C">
            <w:pPr>
              <w:rPr>
                <w:sz w:val="18"/>
                <w:szCs w:val="18"/>
                <w:highlight w:val="yellow"/>
              </w:rPr>
            </w:pPr>
            <w:r w:rsidRPr="00032A4C">
              <w:rPr>
                <w:sz w:val="18"/>
                <w:szCs w:val="18"/>
                <w:highlight w:val="yellow"/>
              </w:rPr>
              <w:t>Hallgatók által túlzottan reproduktívnak ítélt értékelések aránya</w:t>
            </w:r>
          </w:p>
        </w:tc>
        <w:tc>
          <w:tcPr>
            <w:tcW w:w="1172" w:type="dxa"/>
          </w:tcPr>
          <w:p w14:paraId="78E70C6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Azon visszajelzések aránya, amelyek szerint az értékelés elsősorban visszaadást, nem pedig alkalmazást vagy problémamegoldást kér számon.</w:t>
            </w:r>
          </w:p>
        </w:tc>
        <w:tc>
          <w:tcPr>
            <w:tcW w:w="1172" w:type="dxa"/>
          </w:tcPr>
          <w:p w14:paraId="52D45F27"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Nagymintás hallgatói elégedettségmérés; OMHV eredmények</w:t>
            </w:r>
          </w:p>
        </w:tc>
        <w:tc>
          <w:tcPr>
            <w:tcW w:w="1172" w:type="dxa"/>
          </w:tcPr>
          <w:p w14:paraId="385345C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2023–2026</w:t>
            </w:r>
          </w:p>
        </w:tc>
        <w:tc>
          <w:tcPr>
            <w:tcW w:w="1172" w:type="dxa"/>
          </w:tcPr>
          <w:p w14:paraId="6DA9426D"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Szak; tárgytípus; képzési szint</w:t>
            </w:r>
          </w:p>
        </w:tc>
        <w:tc>
          <w:tcPr>
            <w:tcW w:w="1172" w:type="dxa"/>
          </w:tcPr>
          <w:p w14:paraId="11664CF5"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1CA30223"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3495B5D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 értékelési kultúra fejlesztésének célzott támogatására</w:t>
            </w:r>
          </w:p>
        </w:tc>
      </w:tr>
      <w:tr w:rsidR="005E36B0" w:rsidRPr="00EC4161" w14:paraId="38512BEA" w14:textId="77777777" w:rsidTr="00EC4161">
        <w:tc>
          <w:tcPr>
            <w:cnfStyle w:val="001000000000" w:firstRow="0" w:lastRow="0" w:firstColumn="1" w:lastColumn="0" w:oddVBand="0" w:evenVBand="0" w:oddHBand="0" w:evenHBand="0" w:firstRowFirstColumn="0" w:firstRowLastColumn="0" w:lastRowFirstColumn="0" w:lastRowLastColumn="0"/>
            <w:tcW w:w="1211" w:type="dxa"/>
          </w:tcPr>
          <w:p w14:paraId="6E6E74C9" w14:textId="77777777" w:rsidR="000E3AA9" w:rsidRPr="00032A4C" w:rsidRDefault="00032A4C">
            <w:pPr>
              <w:rPr>
                <w:sz w:val="18"/>
                <w:szCs w:val="18"/>
                <w:highlight w:val="yellow"/>
              </w:rPr>
            </w:pPr>
            <w:r w:rsidRPr="00032A4C">
              <w:rPr>
                <w:sz w:val="18"/>
                <w:szCs w:val="18"/>
                <w:highlight w:val="yellow"/>
              </w:rPr>
              <w:t>Félévközi koordinációval érintett tárgyak aránya</w:t>
            </w:r>
          </w:p>
        </w:tc>
        <w:tc>
          <w:tcPr>
            <w:tcW w:w="1172" w:type="dxa"/>
          </w:tcPr>
          <w:p w14:paraId="1E83483F"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kulcstantárgyak aránya, amelyek esetében dokumentált egyeztetés történt a kapcsolódó tárgyak tanulási eredményeiről, tartalmairól és értékeléséről.</w:t>
            </w:r>
          </w:p>
        </w:tc>
        <w:tc>
          <w:tcPr>
            <w:tcW w:w="1172" w:type="dxa"/>
          </w:tcPr>
          <w:p w14:paraId="2D774AD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Oktatói fókuszcsoport; TAD</w:t>
            </w:r>
          </w:p>
        </w:tc>
        <w:tc>
          <w:tcPr>
            <w:tcW w:w="1172" w:type="dxa"/>
          </w:tcPr>
          <w:p w14:paraId="547FE00B"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48C2E514"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Tárgycsoport; félév</w:t>
            </w:r>
          </w:p>
        </w:tc>
        <w:tc>
          <w:tcPr>
            <w:tcW w:w="1172" w:type="dxa"/>
          </w:tcPr>
          <w:p w14:paraId="77DB1D5C"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2C023E3F"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6D1AB90C"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tantervi koherencia menedzselésére</w:t>
            </w:r>
          </w:p>
        </w:tc>
      </w:tr>
    </w:tbl>
    <w:p w14:paraId="1D0E7C4A" w14:textId="77777777" w:rsidR="00FA0472" w:rsidRPr="002B0721" w:rsidRDefault="00FA0472" w:rsidP="00FA0472">
      <w:pPr>
        <w:pStyle w:val="Heading3"/>
      </w:pPr>
      <w:r w:rsidRPr="002B0721">
        <w:t xml:space="preserve">C) Elemzések és ábrák </w:t>
      </w:r>
    </w:p>
    <w:p w14:paraId="4FC2D2E9"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00221F0C"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Szegmentáció (ha releváns)</w:t>
      </w:r>
    </w:p>
    <w:p w14:paraId="380DC023"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Benchmark (ha elérhető)</w:t>
      </w:r>
    </w:p>
    <w:p w14:paraId="0290E213"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0B3DAF39"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Kritikus pontok (tantárgyak) / kritikus tanulmányi utal </w:t>
      </w:r>
    </w:p>
    <w:p w14:paraId="5877D9A7" w14:textId="77777777" w:rsidR="00FA0472" w:rsidRPr="002B0721" w:rsidRDefault="00FA0472" w:rsidP="00FA0472">
      <w:pPr>
        <w:pStyle w:val="Heading3"/>
      </w:pPr>
      <w:r w:rsidRPr="002B0721">
        <w:t>D) Fő megállapítások</w:t>
      </w:r>
    </w:p>
    <w:p w14:paraId="08E5B221" w14:textId="77777777" w:rsidR="00FA0472" w:rsidRPr="002B0721" w:rsidRDefault="00FA0472" w:rsidP="00FA0472">
      <w:r w:rsidRPr="002B0721">
        <w:rPr>
          <w:i/>
          <w:color w:val="005A9C"/>
        </w:rPr>
        <w:t>&lt;&lt;3-7 pont&gt;&gt;</w:t>
      </w:r>
    </w:p>
    <w:p w14:paraId="6EEF57B4" w14:textId="2452806E" w:rsidR="00FA0472" w:rsidRDefault="00EC4161" w:rsidP="00EC4161">
      <w:pPr>
        <w:pStyle w:val="ListParagraph"/>
        <w:numPr>
          <w:ilvl w:val="0"/>
          <w:numId w:val="6"/>
        </w:numPr>
        <w:rPr>
          <w:highlight w:val="yellow"/>
        </w:rPr>
      </w:pPr>
      <w:r w:rsidRPr="00EC4161">
        <w:rPr>
          <w:highlight w:val="yellow"/>
        </w:rPr>
        <w:t>Az oktatói fókuszcsoport alapján a tanterv több pontján azonosítható tartalmi átfedés a</w:t>
      </w:r>
      <w:r>
        <w:rPr>
          <w:highlight w:val="yellow"/>
        </w:rPr>
        <w:t>(z)</w:t>
      </w:r>
      <w:r w:rsidRPr="00EC4161">
        <w:rPr>
          <w:highlight w:val="yellow"/>
        </w:rPr>
        <w:t xml:space="preserve"> </w:t>
      </w:r>
      <w:r>
        <w:rPr>
          <w:highlight w:val="yellow"/>
        </w:rPr>
        <w:t>X</w:t>
      </w:r>
      <w:r w:rsidRPr="00EC4161">
        <w:rPr>
          <w:highlight w:val="yellow"/>
        </w:rPr>
        <w:t xml:space="preserve"> és a</w:t>
      </w:r>
      <w:r>
        <w:rPr>
          <w:highlight w:val="yellow"/>
        </w:rPr>
        <w:t>(z)</w:t>
      </w:r>
      <w:r w:rsidRPr="00EC4161">
        <w:rPr>
          <w:highlight w:val="yellow"/>
        </w:rPr>
        <w:t xml:space="preserve"> </w:t>
      </w:r>
      <w:r>
        <w:rPr>
          <w:highlight w:val="yellow"/>
        </w:rPr>
        <w:t>Y tan</w:t>
      </w:r>
      <w:r w:rsidRPr="00EC4161">
        <w:rPr>
          <w:highlight w:val="yellow"/>
        </w:rPr>
        <w:t>tárgyak között</w:t>
      </w:r>
      <w:r w:rsidR="006D032B">
        <w:rPr>
          <w:highlight w:val="yellow"/>
        </w:rPr>
        <w:t>.</w:t>
      </w:r>
      <w:r w:rsidRPr="00EC4161">
        <w:rPr>
          <w:highlight w:val="yellow"/>
        </w:rPr>
        <w:t xml:space="preserve"> </w:t>
      </w:r>
      <w:r w:rsidR="006D032B">
        <w:rPr>
          <w:highlight w:val="yellow"/>
        </w:rPr>
        <w:t>A</w:t>
      </w:r>
      <w:r w:rsidRPr="00EC4161">
        <w:rPr>
          <w:highlight w:val="yellow"/>
        </w:rPr>
        <w:t xml:space="preserve">z </w:t>
      </w:r>
      <w:r w:rsidR="006D032B">
        <w:rPr>
          <w:highlight w:val="yellow"/>
        </w:rPr>
        <w:t xml:space="preserve">átfedés lehetséges oka a </w:t>
      </w:r>
      <w:r w:rsidR="006D032B" w:rsidRPr="007906A7">
        <w:rPr>
          <w:highlight w:val="yellow"/>
        </w:rPr>
        <w:t xml:space="preserve">koordináció hiánya, az </w:t>
      </w:r>
      <w:r w:rsidRPr="007906A7">
        <w:rPr>
          <w:highlight w:val="yellow"/>
        </w:rPr>
        <w:t>érintett oktatók közötti info</w:t>
      </w:r>
      <w:r w:rsidR="006D032B" w:rsidRPr="007906A7">
        <w:rPr>
          <w:highlight w:val="yellow"/>
        </w:rPr>
        <w:t>rmációs csatorna hiánya</w:t>
      </w:r>
      <w:r w:rsidRPr="007906A7">
        <w:rPr>
          <w:highlight w:val="yellow"/>
        </w:rPr>
        <w:t>.</w:t>
      </w:r>
    </w:p>
    <w:p w14:paraId="3B7A3E32" w14:textId="77777777" w:rsidR="007906A7" w:rsidRPr="007906A7" w:rsidRDefault="007906A7" w:rsidP="007906A7">
      <w:pPr>
        <w:pStyle w:val="ListParagraph"/>
        <w:numPr>
          <w:ilvl w:val="0"/>
          <w:numId w:val="6"/>
        </w:numPr>
        <w:rPr>
          <w:iCs/>
          <w:highlight w:val="yellow"/>
        </w:rPr>
      </w:pPr>
      <w:r w:rsidRPr="00906D88">
        <w:rPr>
          <w:highlight w:val="yellow"/>
        </w:rPr>
        <w:t>A tanulási eredmények megléte nem mindenütt jár együtt egyértelmű értékelési illeszkedéssel; több tárgyban az értékelés továbbra is túlnyomórészt reproduktív tudást mér.</w:t>
      </w:r>
    </w:p>
    <w:p w14:paraId="5BB0C713" w14:textId="77777777" w:rsidR="007906A7" w:rsidRPr="00906D88" w:rsidRDefault="007906A7" w:rsidP="007906A7">
      <w:pPr>
        <w:ind w:left="1416"/>
        <w:rPr>
          <w:i/>
          <w:iCs/>
          <w:color w:val="005A9C"/>
          <w:highlight w:val="yellow"/>
        </w:rPr>
      </w:pPr>
      <w:r w:rsidRPr="00906D88">
        <w:rPr>
          <w:i/>
          <w:iCs/>
          <w:highlight w:val="yellow"/>
        </w:rPr>
        <w:t>Fejlesztési cél és értelme: azonosítja, hol szükséges a tanulási eredmények és az értékelési formák összehangolása, ezáltal javítható a program szakmai belső koherenciája.</w:t>
      </w:r>
    </w:p>
    <w:p w14:paraId="27D2059C" w14:textId="77777777" w:rsidR="007906A7" w:rsidRPr="007906A7" w:rsidRDefault="007906A7" w:rsidP="007906A7">
      <w:pPr>
        <w:pStyle w:val="ListParagraph"/>
        <w:numPr>
          <w:ilvl w:val="0"/>
          <w:numId w:val="6"/>
        </w:numPr>
        <w:rPr>
          <w:iCs/>
          <w:highlight w:val="yellow"/>
        </w:rPr>
      </w:pPr>
      <w:r w:rsidRPr="00906D88">
        <w:rPr>
          <w:highlight w:val="yellow"/>
        </w:rPr>
        <w:t>Az innovatív oktatási megoldások jelen vannak, de szigetszerűek, és erősen egyéni oktatói elköteleződéshez kötődnek, intézményesített támogatás nélkül.</w:t>
      </w:r>
    </w:p>
    <w:p w14:paraId="3F2E061E" w14:textId="77777777" w:rsidR="007906A7" w:rsidRPr="00906D88" w:rsidRDefault="007906A7" w:rsidP="007906A7">
      <w:pPr>
        <w:ind w:left="1416"/>
        <w:rPr>
          <w:i/>
          <w:iCs/>
          <w:color w:val="005A9C"/>
          <w:highlight w:val="yellow"/>
        </w:rPr>
      </w:pPr>
      <w:r w:rsidRPr="00906D88">
        <w:rPr>
          <w:i/>
          <w:iCs/>
          <w:highlight w:val="yellow"/>
        </w:rPr>
        <w:t>Fejlesztési cél és értelme: rámutat arra, hogy az innováció fenntarthatóságához nemcsak ötletek, hanem szervezeti ösztönzők, tudásmegosztás és időforrás is szükséges.</w:t>
      </w:r>
    </w:p>
    <w:p w14:paraId="63AD7B92" w14:textId="77777777" w:rsidR="007906A7" w:rsidRPr="007906A7" w:rsidRDefault="007906A7" w:rsidP="007906A7">
      <w:pPr>
        <w:pStyle w:val="ListParagraph"/>
        <w:numPr>
          <w:ilvl w:val="0"/>
          <w:numId w:val="6"/>
        </w:numPr>
        <w:rPr>
          <w:iCs/>
          <w:highlight w:val="yellow"/>
        </w:rPr>
      </w:pPr>
      <w:r w:rsidRPr="00906D88">
        <w:rPr>
          <w:highlight w:val="yellow"/>
        </w:rPr>
        <w:t>A tantervi koordináció hiányai főként a szomszédos félévek és a rokon tantárgycsoportok között jelentkeznek, ami egyszerre okoz ismétlést és hiányt.</w:t>
      </w:r>
    </w:p>
    <w:p w14:paraId="116A859B" w14:textId="77777777" w:rsidR="007906A7" w:rsidRPr="00E76CE9" w:rsidRDefault="007906A7" w:rsidP="007906A7">
      <w:pPr>
        <w:ind w:left="1416"/>
        <w:rPr>
          <w:i/>
          <w:iCs/>
          <w:color w:val="005A9C"/>
        </w:rPr>
      </w:pPr>
      <w:r w:rsidRPr="00906D88">
        <w:rPr>
          <w:i/>
          <w:iCs/>
          <w:highlight w:val="yellow"/>
        </w:rPr>
        <w:t>Fejlesztési cél és értelme: alapot ad a félévszintű és tárgycsoportszintű tantervi összehangolásnak, így a program építkezése világosabbá tehető.</w:t>
      </w:r>
    </w:p>
    <w:p w14:paraId="6797EF73" w14:textId="77777777" w:rsidR="007906A7" w:rsidRPr="002B0721" w:rsidRDefault="007906A7" w:rsidP="007906A7">
      <w:pPr>
        <w:pStyle w:val="ListParagraph"/>
        <w:numPr>
          <w:ilvl w:val="0"/>
          <w:numId w:val="6"/>
        </w:numPr>
      </w:pPr>
      <w:r w:rsidRPr="002B0721">
        <w:t>&lt;&lt;KITÖLTENDŐ&gt;&gt;</w:t>
      </w:r>
    </w:p>
    <w:p w14:paraId="1C6F4C48" w14:textId="77777777" w:rsidR="00FA0472" w:rsidRPr="002B0721" w:rsidRDefault="00FA0472" w:rsidP="00FA0472">
      <w:pPr>
        <w:pStyle w:val="Heading3"/>
      </w:pPr>
      <w:r w:rsidRPr="002B0721">
        <w:t>E) Döntési opciók</w:t>
      </w:r>
    </w:p>
    <w:p w14:paraId="74CE374D" w14:textId="77777777" w:rsidR="00FA0472" w:rsidRPr="002B0721" w:rsidRDefault="00FA0472" w:rsidP="00FA0472">
      <w:r w:rsidRPr="002B0721">
        <w:t>Döntési opciók (min. 2-3 alternatíva)</w:t>
      </w:r>
    </w:p>
    <w:tbl>
      <w:tblPr>
        <w:tblStyle w:val="GridTable5Dark-Accent1"/>
        <w:tblW w:w="0" w:type="auto"/>
        <w:tblLook w:val="04A0" w:firstRow="1" w:lastRow="0" w:firstColumn="1" w:lastColumn="0" w:noHBand="0" w:noVBand="1"/>
      </w:tblPr>
      <w:tblGrid>
        <w:gridCol w:w="716"/>
        <w:gridCol w:w="1722"/>
        <w:gridCol w:w="1664"/>
        <w:gridCol w:w="1668"/>
        <w:gridCol w:w="1629"/>
        <w:gridCol w:w="1663"/>
      </w:tblGrid>
      <w:tr w:rsidR="00EC4161" w:rsidRPr="00EC4161" w14:paraId="6713B2F2" w14:textId="77777777" w:rsidTr="00EC41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tcPr>
          <w:p w14:paraId="262C7A50" w14:textId="5129D59F" w:rsidR="00EC4161" w:rsidRPr="00EC4161" w:rsidRDefault="00EC4161" w:rsidP="00EC4161">
            <w:pPr>
              <w:rPr>
                <w:sz w:val="18"/>
                <w:szCs w:val="18"/>
              </w:rPr>
            </w:pPr>
            <w:r w:rsidRPr="00EC4161">
              <w:rPr>
                <w:sz w:val="18"/>
                <w:szCs w:val="18"/>
              </w:rPr>
              <w:t>Opció</w:t>
            </w:r>
          </w:p>
        </w:tc>
        <w:tc>
          <w:tcPr>
            <w:tcW w:w="1676" w:type="dxa"/>
          </w:tcPr>
          <w:p w14:paraId="135D13ED" w14:textId="734058F4"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Leírás</w:t>
            </w:r>
          </w:p>
        </w:tc>
        <w:tc>
          <w:tcPr>
            <w:tcW w:w="1675" w:type="dxa"/>
          </w:tcPr>
          <w:p w14:paraId="74D21BCC" w14:textId="7F30CB05"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Várható hatás (KPI)</w:t>
            </w:r>
          </w:p>
        </w:tc>
        <w:tc>
          <w:tcPr>
            <w:tcW w:w="1675" w:type="dxa"/>
          </w:tcPr>
          <w:p w14:paraId="3B8163DC" w14:textId="52F40664"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Erőforrásigény / költség</w:t>
            </w:r>
          </w:p>
        </w:tc>
        <w:tc>
          <w:tcPr>
            <w:tcW w:w="1675" w:type="dxa"/>
          </w:tcPr>
          <w:p w14:paraId="6DE0C769" w14:textId="5B95C4CC"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Idő (hónap)</w:t>
            </w:r>
          </w:p>
        </w:tc>
        <w:tc>
          <w:tcPr>
            <w:tcW w:w="1675" w:type="dxa"/>
          </w:tcPr>
          <w:p w14:paraId="634EF4D6" w14:textId="25C1954F"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 xml:space="preserve">Fő kockázat + </w:t>
            </w:r>
            <w:proofErr w:type="spellStart"/>
            <w:r w:rsidRPr="00EC4161">
              <w:rPr>
                <w:sz w:val="18"/>
                <w:szCs w:val="18"/>
              </w:rPr>
              <w:t>mitigáció</w:t>
            </w:r>
            <w:proofErr w:type="spellEnd"/>
          </w:p>
        </w:tc>
      </w:tr>
      <w:tr w:rsidR="00EC4161" w:rsidRPr="00EC4161" w14:paraId="6AE19ADA" w14:textId="77777777" w:rsidTr="00EC4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tcPr>
          <w:p w14:paraId="79C4DBC1" w14:textId="54C314A3" w:rsidR="00EC4161" w:rsidRPr="00EC4161" w:rsidRDefault="00EC4161" w:rsidP="00EC4161">
            <w:pPr>
              <w:rPr>
                <w:sz w:val="18"/>
                <w:szCs w:val="18"/>
              </w:rPr>
            </w:pPr>
            <w:r w:rsidRPr="00EC4161">
              <w:rPr>
                <w:sz w:val="18"/>
                <w:szCs w:val="18"/>
              </w:rPr>
              <w:t>Opció 1</w:t>
            </w:r>
          </w:p>
        </w:tc>
        <w:tc>
          <w:tcPr>
            <w:tcW w:w="1676" w:type="dxa"/>
          </w:tcPr>
          <w:p w14:paraId="102F8642" w14:textId="61EBEEF8" w:rsidR="00EC4161" w:rsidRPr="00496A52"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496A52">
              <w:rPr>
                <w:sz w:val="18"/>
                <w:szCs w:val="18"/>
                <w:highlight w:val="yellow"/>
              </w:rPr>
              <w:t>Tantárgyi tematika-felülvizsgálati workshop szervezése: az érintett tantárgyak oktatói közösen áttekintik a tananyag-átfedéseket, rögzítik az egyes tantárgyak határait és explicit tanulási eredményeit; az eredmény kötelező tematika-frissítés formájában kerül jóváhagyásra.</w:t>
            </w:r>
          </w:p>
        </w:tc>
        <w:tc>
          <w:tcPr>
            <w:tcW w:w="1675" w:type="dxa"/>
          </w:tcPr>
          <w:p w14:paraId="0A3E514B" w14:textId="10A6DF1D" w:rsidR="00EC4161" w:rsidRPr="00496A52"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496A52">
              <w:rPr>
                <w:sz w:val="18"/>
                <w:szCs w:val="18"/>
                <w:highlight w:val="yellow"/>
              </w:rPr>
              <w:t>Tanulási eredmények lefedettségi mutatójának javulása; hallgatói tananyag-ismétlési arány csökkenése</w:t>
            </w:r>
          </w:p>
        </w:tc>
        <w:tc>
          <w:tcPr>
            <w:tcW w:w="1675" w:type="dxa"/>
          </w:tcPr>
          <w:p w14:paraId="13C17062" w14:textId="1E15D1BC" w:rsidR="00EC4161" w:rsidRPr="00496A52"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496A52">
              <w:rPr>
                <w:sz w:val="18"/>
                <w:szCs w:val="18"/>
                <w:highlight w:val="yellow"/>
              </w:rPr>
              <w:t>Alacsony: 1-3 moderált műhely, meglévő oktatói kapacitással; külső résztvevő opcionális</w:t>
            </w:r>
          </w:p>
        </w:tc>
        <w:tc>
          <w:tcPr>
            <w:tcW w:w="1675" w:type="dxa"/>
          </w:tcPr>
          <w:p w14:paraId="7F0113AC" w14:textId="60706A00" w:rsidR="00EC4161" w:rsidRPr="00496A52"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496A52">
              <w:rPr>
                <w:sz w:val="18"/>
                <w:szCs w:val="18"/>
                <w:highlight w:val="yellow"/>
              </w:rPr>
              <w:t>2–3</w:t>
            </w:r>
          </w:p>
        </w:tc>
        <w:tc>
          <w:tcPr>
            <w:tcW w:w="1675" w:type="dxa"/>
          </w:tcPr>
          <w:p w14:paraId="675CB6E7" w14:textId="29F7E2FF" w:rsidR="00EC4161" w:rsidRPr="00496A52"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496A52">
              <w:rPr>
                <w:sz w:val="18"/>
                <w:szCs w:val="18"/>
                <w:highlight w:val="yellow"/>
              </w:rPr>
              <w:t xml:space="preserve">Alacsony oktatói részvételi hajlandóság </w:t>
            </w:r>
            <w:r w:rsidRPr="00496A52">
              <w:rPr>
                <w:rFonts w:ascii="Times New Roman" w:hAnsi="Times New Roman" w:cs="Times New Roman"/>
                <w:sz w:val="18"/>
                <w:szCs w:val="18"/>
                <w:highlight w:val="yellow"/>
              </w:rPr>
              <w:t>→</w:t>
            </w:r>
            <w:r w:rsidRPr="00496A52">
              <w:rPr>
                <w:sz w:val="18"/>
                <w:szCs w:val="18"/>
                <w:highlight w:val="yellow"/>
              </w:rPr>
              <w:t xml:space="preserve"> kari vezet</w:t>
            </w:r>
            <w:r w:rsidRPr="00496A52">
              <w:rPr>
                <w:rFonts w:cs="Palatino Linotype"/>
                <w:sz w:val="18"/>
                <w:szCs w:val="18"/>
                <w:highlight w:val="yellow"/>
              </w:rPr>
              <w:t>ő</w:t>
            </w:r>
            <w:r w:rsidRPr="00496A52">
              <w:rPr>
                <w:sz w:val="18"/>
                <w:szCs w:val="18"/>
                <w:highlight w:val="yellow"/>
              </w:rPr>
              <w:t xml:space="preserve">i szerepvállalás </w:t>
            </w:r>
            <w:r w:rsidRPr="00496A52">
              <w:rPr>
                <w:rFonts w:cs="Palatino Linotype"/>
                <w:sz w:val="18"/>
                <w:szCs w:val="18"/>
                <w:highlight w:val="yellow"/>
              </w:rPr>
              <w:t>é</w:t>
            </w:r>
            <w:r w:rsidRPr="00496A52">
              <w:rPr>
                <w:sz w:val="18"/>
                <w:szCs w:val="18"/>
                <w:highlight w:val="yellow"/>
              </w:rPr>
              <w:t>s munkaterhelés elismer</w:t>
            </w:r>
            <w:r w:rsidRPr="00496A52">
              <w:rPr>
                <w:rFonts w:cs="Palatino Linotype"/>
                <w:sz w:val="18"/>
                <w:szCs w:val="18"/>
                <w:highlight w:val="yellow"/>
              </w:rPr>
              <w:t>é</w:t>
            </w:r>
            <w:r w:rsidRPr="00496A52">
              <w:rPr>
                <w:sz w:val="18"/>
                <w:szCs w:val="18"/>
                <w:highlight w:val="yellow"/>
              </w:rPr>
              <w:t>s biztos</w:t>
            </w:r>
            <w:r w:rsidRPr="00496A52">
              <w:rPr>
                <w:rFonts w:cs="Palatino Linotype"/>
                <w:sz w:val="18"/>
                <w:szCs w:val="18"/>
                <w:highlight w:val="yellow"/>
              </w:rPr>
              <w:t>í</w:t>
            </w:r>
            <w:r w:rsidRPr="00496A52">
              <w:rPr>
                <w:sz w:val="18"/>
                <w:szCs w:val="18"/>
                <w:highlight w:val="yellow"/>
              </w:rPr>
              <w:t>t</w:t>
            </w:r>
            <w:r w:rsidRPr="00496A52">
              <w:rPr>
                <w:rFonts w:cs="Palatino Linotype"/>
                <w:sz w:val="18"/>
                <w:szCs w:val="18"/>
                <w:highlight w:val="yellow"/>
              </w:rPr>
              <w:t>á</w:t>
            </w:r>
            <w:r w:rsidRPr="00496A52">
              <w:rPr>
                <w:sz w:val="18"/>
                <w:szCs w:val="18"/>
                <w:highlight w:val="yellow"/>
              </w:rPr>
              <w:t xml:space="preserve">sa </w:t>
            </w:r>
            <w:proofErr w:type="spellStart"/>
            <w:r w:rsidRPr="00496A52">
              <w:rPr>
                <w:sz w:val="18"/>
                <w:szCs w:val="18"/>
                <w:highlight w:val="yellow"/>
              </w:rPr>
              <w:t>mitig</w:t>
            </w:r>
            <w:r w:rsidRPr="00496A52">
              <w:rPr>
                <w:rFonts w:cs="Palatino Linotype"/>
                <w:sz w:val="18"/>
                <w:szCs w:val="18"/>
                <w:highlight w:val="yellow"/>
              </w:rPr>
              <w:t>á</w:t>
            </w:r>
            <w:r w:rsidRPr="00496A52">
              <w:rPr>
                <w:sz w:val="18"/>
                <w:szCs w:val="18"/>
                <w:highlight w:val="yellow"/>
              </w:rPr>
              <w:t>lja</w:t>
            </w:r>
            <w:proofErr w:type="spellEnd"/>
          </w:p>
        </w:tc>
      </w:tr>
      <w:tr w:rsidR="00FA0472" w:rsidRPr="006058C4" w14:paraId="363FA046" w14:textId="77777777" w:rsidTr="00EC4161">
        <w:tc>
          <w:tcPr>
            <w:cnfStyle w:val="001000000000" w:firstRow="0" w:lastRow="0" w:firstColumn="1" w:lastColumn="0" w:oddVBand="0" w:evenVBand="0" w:oddHBand="0" w:evenHBand="0" w:firstRowFirstColumn="0" w:firstRowLastColumn="0" w:lastRowFirstColumn="0" w:lastRowLastColumn="0"/>
            <w:tcW w:w="686" w:type="dxa"/>
          </w:tcPr>
          <w:p w14:paraId="262CD199" w14:textId="77777777" w:rsidR="000E3AA9" w:rsidRPr="006058C4" w:rsidRDefault="00032A4C">
            <w:pPr>
              <w:rPr>
                <w:sz w:val="18"/>
                <w:szCs w:val="18"/>
              </w:rPr>
            </w:pPr>
            <w:r w:rsidRPr="006058C4">
              <w:rPr>
                <w:sz w:val="18"/>
                <w:szCs w:val="18"/>
              </w:rPr>
              <w:t>Opció 2</w:t>
            </w:r>
          </w:p>
        </w:tc>
        <w:tc>
          <w:tcPr>
            <w:tcW w:w="1676" w:type="dxa"/>
          </w:tcPr>
          <w:p w14:paraId="2071A31D"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Programszintű LO–értékelés audit: a kötelező tantárgyak tanulási eredményeinek, értékelési módjainak és egymásra épülésének egységes felülvizsgálata, sablonos dokumentálással.</w:t>
            </w:r>
          </w:p>
        </w:tc>
        <w:tc>
          <w:tcPr>
            <w:tcW w:w="1675" w:type="dxa"/>
          </w:tcPr>
          <w:p w14:paraId="428B62C8"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Tanulási eredmény–értékelés illeszkedési index javulása; hallgatók által túlzottan reproduktívnak ítélt értékelések arányának csökkenése</w:t>
            </w:r>
          </w:p>
        </w:tc>
        <w:tc>
          <w:tcPr>
            <w:tcW w:w="1675" w:type="dxa"/>
          </w:tcPr>
          <w:p w14:paraId="785964ED"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Közepes: szakfelelősi koordináció, oktatói műhelyek, adminisztratív támogatás</w:t>
            </w:r>
          </w:p>
        </w:tc>
        <w:tc>
          <w:tcPr>
            <w:tcW w:w="1675" w:type="dxa"/>
          </w:tcPr>
          <w:p w14:paraId="1881C2E0"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3–5</w:t>
            </w:r>
          </w:p>
        </w:tc>
        <w:tc>
          <w:tcPr>
            <w:tcW w:w="1675" w:type="dxa"/>
          </w:tcPr>
          <w:p w14:paraId="451DB8B5"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Dokumentációs teher növekedése → egyszerű sablonok és központi facilitálás</w:t>
            </w:r>
          </w:p>
        </w:tc>
      </w:tr>
      <w:tr w:rsidR="00FA0472" w:rsidRPr="006058C4" w14:paraId="528FF0DB" w14:textId="77777777" w:rsidTr="00EC41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6" w:type="dxa"/>
          </w:tcPr>
          <w:p w14:paraId="2043CD79" w14:textId="77777777" w:rsidR="000E3AA9" w:rsidRPr="006058C4" w:rsidRDefault="00032A4C">
            <w:pPr>
              <w:rPr>
                <w:sz w:val="18"/>
                <w:szCs w:val="18"/>
              </w:rPr>
            </w:pPr>
            <w:r w:rsidRPr="006058C4">
              <w:rPr>
                <w:sz w:val="18"/>
                <w:szCs w:val="18"/>
              </w:rPr>
              <w:t>Opció 3</w:t>
            </w:r>
          </w:p>
        </w:tc>
        <w:tc>
          <w:tcPr>
            <w:tcW w:w="1676" w:type="dxa"/>
          </w:tcPr>
          <w:p w14:paraId="642E6D00"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Közös értékelési és visszajelzési minimumstandard bevezetése kulcstantárgyakra: rubrikák, formatív részfeladatok, minimum visszajelzési határidők.</w:t>
            </w:r>
          </w:p>
        </w:tc>
        <w:tc>
          <w:tcPr>
            <w:tcW w:w="1675" w:type="dxa"/>
          </w:tcPr>
          <w:p w14:paraId="6418953B"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Formatív értékelést alkalmazó tantárgyak arányának növekedése; hallgatói elégedettség javulása</w:t>
            </w:r>
          </w:p>
        </w:tc>
        <w:tc>
          <w:tcPr>
            <w:tcW w:w="1675" w:type="dxa"/>
          </w:tcPr>
          <w:p w14:paraId="1E21D86B"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Közepes: oktatásfejlesztési támogatás és rövid felkészítés</w:t>
            </w:r>
          </w:p>
        </w:tc>
        <w:tc>
          <w:tcPr>
            <w:tcW w:w="1675" w:type="dxa"/>
          </w:tcPr>
          <w:p w14:paraId="13784E80"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2–4</w:t>
            </w:r>
          </w:p>
        </w:tc>
        <w:tc>
          <w:tcPr>
            <w:tcW w:w="1675" w:type="dxa"/>
          </w:tcPr>
          <w:p w14:paraId="09683EDF"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Túlzott standardizáció veszélye → csak keretszabályok, tárgyspecifikus adaptációval</w:t>
            </w:r>
          </w:p>
        </w:tc>
      </w:tr>
      <w:tr w:rsidR="000E3AA9" w:rsidRPr="006058C4" w14:paraId="4198A14D" w14:textId="77777777" w:rsidTr="000E3AA9">
        <w:tc>
          <w:tcPr>
            <w:cnfStyle w:val="001000000000" w:firstRow="0" w:lastRow="0" w:firstColumn="1" w:lastColumn="0" w:oddVBand="0" w:evenVBand="0" w:oddHBand="0" w:evenHBand="0" w:firstRowFirstColumn="0" w:firstRowLastColumn="0" w:lastRowFirstColumn="0" w:lastRowLastColumn="0"/>
            <w:tcW w:w="686" w:type="dxa"/>
          </w:tcPr>
          <w:p w14:paraId="7F40B797" w14:textId="77777777" w:rsidR="000E3AA9" w:rsidRPr="006058C4" w:rsidRDefault="00032A4C">
            <w:pPr>
              <w:rPr>
                <w:sz w:val="18"/>
                <w:szCs w:val="18"/>
              </w:rPr>
            </w:pPr>
            <w:r w:rsidRPr="006058C4">
              <w:rPr>
                <w:sz w:val="18"/>
                <w:szCs w:val="18"/>
              </w:rPr>
              <w:t>Opció 4</w:t>
            </w:r>
          </w:p>
        </w:tc>
        <w:tc>
          <w:tcPr>
            <w:tcW w:w="1676" w:type="dxa"/>
          </w:tcPr>
          <w:p w14:paraId="70D0201A"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Pedagógiai innovációs pilot és tudásmegosztási program indítása: évente néhány mintatárgy támogatott fejlesztése, kari bemutatóval és adaptációs csomaggal.</w:t>
            </w:r>
          </w:p>
        </w:tc>
        <w:tc>
          <w:tcPr>
            <w:tcW w:w="1675" w:type="dxa"/>
          </w:tcPr>
          <w:p w14:paraId="7B6C7636"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Pedagógiai innovációval működő tantárgyak arányának növekedése; oktatói jó gyakorlatok terjedése</w:t>
            </w:r>
          </w:p>
        </w:tc>
        <w:tc>
          <w:tcPr>
            <w:tcW w:w="1675" w:type="dxa"/>
          </w:tcPr>
          <w:p w14:paraId="0AFFDDB2"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Közepes: kis pályázati vagy időkeret-támogatás, koordináció</w:t>
            </w:r>
          </w:p>
        </w:tc>
        <w:tc>
          <w:tcPr>
            <w:tcW w:w="1675" w:type="dxa"/>
          </w:tcPr>
          <w:p w14:paraId="14E8B4AF"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4–8</w:t>
            </w:r>
          </w:p>
        </w:tc>
        <w:tc>
          <w:tcPr>
            <w:tcW w:w="1675" w:type="dxa"/>
          </w:tcPr>
          <w:p w14:paraId="3E6847D6"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Pilotok elszigetelődése → kötelező disszemináció és adaptációs terv</w:t>
            </w:r>
          </w:p>
        </w:tc>
      </w:tr>
    </w:tbl>
    <w:p w14:paraId="7717D69A" w14:textId="77777777" w:rsidR="00FA0472" w:rsidRPr="002B0721" w:rsidRDefault="00FA0472" w:rsidP="00FA0472">
      <w:pPr>
        <w:pStyle w:val="Heading3"/>
      </w:pPr>
      <w:r w:rsidRPr="002B0721">
        <w:t>F) Kockázatok és kezelések</w:t>
      </w:r>
    </w:p>
    <w:p w14:paraId="6890C063" w14:textId="77777777" w:rsidR="00FA0472" w:rsidRPr="002B0721" w:rsidRDefault="00FA0472" w:rsidP="00FA0472">
      <w:r w:rsidRPr="002B0721">
        <w:rPr>
          <w:i/>
          <w:color w:val="005A9C"/>
        </w:rPr>
        <w:t>&lt;&lt;</w:t>
      </w:r>
      <w:proofErr w:type="spellStart"/>
      <w:r w:rsidRPr="002B0721">
        <w:rPr>
          <w:i/>
          <w:color w:val="005A9C"/>
        </w:rPr>
        <w:t>max</w:t>
      </w:r>
      <w:proofErr w:type="spellEnd"/>
      <w:r w:rsidRPr="002B0721">
        <w:rPr>
          <w:i/>
          <w:color w:val="005A9C"/>
        </w:rPr>
        <w:t>. 5 kockázat&gt;&gt;</w:t>
      </w:r>
    </w:p>
    <w:p w14:paraId="14318C48" w14:textId="77777777" w:rsidR="00FA0472" w:rsidRPr="002B0721" w:rsidRDefault="00FA0472" w:rsidP="00FA0472">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EC4161" w:rsidRPr="00EC4161" w14:paraId="210B0F2A"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4BDF525D" w14:textId="35088F52" w:rsidR="00EC4161" w:rsidRPr="00EC4161" w:rsidRDefault="00EC4161" w:rsidP="00EC4161">
            <w:pPr>
              <w:jc w:val="center"/>
              <w:rPr>
                <w:sz w:val="18"/>
                <w:szCs w:val="18"/>
              </w:rPr>
            </w:pPr>
            <w:r w:rsidRPr="00EC4161">
              <w:rPr>
                <w:sz w:val="18"/>
                <w:szCs w:val="18"/>
              </w:rPr>
              <w:t>Állítás / megállapítás</w:t>
            </w:r>
          </w:p>
        </w:tc>
        <w:tc>
          <w:tcPr>
            <w:tcW w:w="2191" w:type="dxa"/>
          </w:tcPr>
          <w:p w14:paraId="51679A11" w14:textId="54F1EE17"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Bizonyíték típusa</w:t>
            </w:r>
          </w:p>
        </w:tc>
        <w:tc>
          <w:tcPr>
            <w:tcW w:w="2392" w:type="dxa"/>
          </w:tcPr>
          <w:p w14:paraId="0E8E67AE" w14:textId="3D7E77FD"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Hivatkozás</w:t>
            </w:r>
          </w:p>
        </w:tc>
        <w:tc>
          <w:tcPr>
            <w:tcW w:w="2171" w:type="dxa"/>
          </w:tcPr>
          <w:p w14:paraId="082C2819" w14:textId="75A4528E" w:rsidR="00EC4161" w:rsidRPr="00EC4161" w:rsidRDefault="00EC4161" w:rsidP="00EC4161">
            <w:pPr>
              <w:jc w:val="center"/>
              <w:cnfStyle w:val="100000000000" w:firstRow="1" w:lastRow="0" w:firstColumn="0" w:lastColumn="0" w:oddVBand="0" w:evenVBand="0" w:oddHBand="0" w:evenHBand="0" w:firstRowFirstColumn="0" w:firstRowLastColumn="0" w:lastRowFirstColumn="0" w:lastRowLastColumn="0"/>
              <w:rPr>
                <w:sz w:val="18"/>
                <w:szCs w:val="18"/>
              </w:rPr>
            </w:pPr>
            <w:r w:rsidRPr="00EC4161">
              <w:rPr>
                <w:sz w:val="18"/>
                <w:szCs w:val="18"/>
              </w:rPr>
              <w:t>Megjegyzés</w:t>
            </w:r>
          </w:p>
        </w:tc>
      </w:tr>
      <w:tr w:rsidR="00EC4161" w:rsidRPr="00EC4161" w14:paraId="6692CEA9"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40518E0F" w14:textId="6FF2E264" w:rsidR="00EC4161" w:rsidRPr="00EC4161" w:rsidRDefault="00EC4161" w:rsidP="00EC4161">
            <w:pPr>
              <w:rPr>
                <w:sz w:val="18"/>
                <w:szCs w:val="18"/>
                <w:highlight w:val="yellow"/>
              </w:rPr>
            </w:pPr>
            <w:r w:rsidRPr="00EC4161">
              <w:rPr>
                <w:sz w:val="18"/>
                <w:szCs w:val="18"/>
                <w:highlight w:val="yellow"/>
              </w:rPr>
              <w:t xml:space="preserve">A </w:t>
            </w:r>
            <w:r w:rsidR="00496A52">
              <w:rPr>
                <w:sz w:val="18"/>
                <w:szCs w:val="18"/>
                <w:highlight w:val="yellow"/>
              </w:rPr>
              <w:t>X</w:t>
            </w:r>
            <w:r w:rsidRPr="00EC4161">
              <w:rPr>
                <w:sz w:val="18"/>
                <w:szCs w:val="18"/>
                <w:highlight w:val="yellow"/>
              </w:rPr>
              <w:t xml:space="preserve"> és </w:t>
            </w:r>
            <w:r w:rsidR="00496A52">
              <w:rPr>
                <w:sz w:val="18"/>
                <w:szCs w:val="18"/>
                <w:highlight w:val="yellow"/>
              </w:rPr>
              <w:t>Y tan</w:t>
            </w:r>
            <w:r w:rsidRPr="00EC4161">
              <w:rPr>
                <w:sz w:val="18"/>
                <w:szCs w:val="18"/>
                <w:highlight w:val="yellow"/>
              </w:rPr>
              <w:t>tárgyak között tartalmi átfedés azonosítható</w:t>
            </w:r>
          </w:p>
        </w:tc>
        <w:tc>
          <w:tcPr>
            <w:tcW w:w="2191" w:type="dxa"/>
          </w:tcPr>
          <w:p w14:paraId="13C39A16" w14:textId="5152DAB0" w:rsidR="00EC4161" w:rsidRPr="00EC4161"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4161">
              <w:rPr>
                <w:sz w:val="18"/>
                <w:szCs w:val="18"/>
                <w:highlight w:val="yellow"/>
              </w:rPr>
              <w:t xml:space="preserve">Fókuszcsoport; </w:t>
            </w:r>
            <w:r>
              <w:rPr>
                <w:sz w:val="18"/>
                <w:szCs w:val="18"/>
                <w:highlight w:val="yellow"/>
              </w:rPr>
              <w:t>TAD</w:t>
            </w:r>
          </w:p>
        </w:tc>
        <w:tc>
          <w:tcPr>
            <w:tcW w:w="2392" w:type="dxa"/>
          </w:tcPr>
          <w:p w14:paraId="51FB0027" w14:textId="5CD19F5B" w:rsidR="00EC4161" w:rsidRPr="00EC4161"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4161">
              <w:rPr>
                <w:sz w:val="18"/>
                <w:szCs w:val="18"/>
                <w:highlight w:val="yellow"/>
              </w:rPr>
              <w:t>&lt;&lt;KITÖLTENDŐ&gt;&gt;</w:t>
            </w:r>
          </w:p>
        </w:tc>
        <w:tc>
          <w:tcPr>
            <w:tcW w:w="2171" w:type="dxa"/>
          </w:tcPr>
          <w:p w14:paraId="2541C0EB" w14:textId="5B720EFD" w:rsidR="00EC4161" w:rsidRPr="00EC4161" w:rsidRDefault="00EC4161" w:rsidP="00EC4161">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4161">
              <w:rPr>
                <w:sz w:val="18"/>
                <w:szCs w:val="18"/>
                <w:highlight w:val="yellow"/>
              </w:rPr>
              <w:t>Oktatói fókuszcsoport és OMHV áttekintés összevetése alapján</w:t>
            </w:r>
          </w:p>
        </w:tc>
      </w:tr>
      <w:tr w:rsidR="00FA0472" w:rsidRPr="00EC4161" w14:paraId="700A692D"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290F1AB0" w14:textId="77777777" w:rsidR="00FA0472" w:rsidRPr="00EC4161" w:rsidRDefault="00FA0472" w:rsidP="00D92C6C">
            <w:pPr>
              <w:rPr>
                <w:sz w:val="18"/>
                <w:szCs w:val="18"/>
              </w:rPr>
            </w:pPr>
            <w:r w:rsidRPr="00EC4161">
              <w:rPr>
                <w:sz w:val="18"/>
                <w:szCs w:val="18"/>
              </w:rPr>
              <w:t>&lt;&lt;KITÖLTENDŐ&gt;&gt;</w:t>
            </w:r>
          </w:p>
        </w:tc>
        <w:tc>
          <w:tcPr>
            <w:tcW w:w="2191" w:type="dxa"/>
          </w:tcPr>
          <w:p w14:paraId="437F9DFD"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EC4161">
              <w:rPr>
                <w:sz w:val="18"/>
                <w:szCs w:val="18"/>
              </w:rPr>
              <w:t xml:space="preserve">&lt;&lt;pl. kérdőíves felmérés / </w:t>
            </w:r>
            <w:proofErr w:type="spellStart"/>
            <w:r w:rsidRPr="00EC4161">
              <w:rPr>
                <w:sz w:val="18"/>
                <w:szCs w:val="18"/>
              </w:rPr>
              <w:t>Neptun</w:t>
            </w:r>
            <w:proofErr w:type="spellEnd"/>
            <w:r w:rsidRPr="00EC4161">
              <w:rPr>
                <w:sz w:val="18"/>
                <w:szCs w:val="18"/>
              </w:rPr>
              <w:t xml:space="preserve"> adatok / interjú / benchmark&gt;&gt;</w:t>
            </w:r>
          </w:p>
        </w:tc>
        <w:tc>
          <w:tcPr>
            <w:tcW w:w="2392" w:type="dxa"/>
          </w:tcPr>
          <w:p w14:paraId="11DCDAC4"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EC4161">
              <w:rPr>
                <w:sz w:val="18"/>
                <w:szCs w:val="18"/>
              </w:rPr>
              <w:t>&lt;&lt;pl. 1. ábra; 5. táblázat; 3. melléklet&gt;&gt;</w:t>
            </w:r>
          </w:p>
        </w:tc>
        <w:tc>
          <w:tcPr>
            <w:tcW w:w="2171" w:type="dxa"/>
          </w:tcPr>
          <w:p w14:paraId="60C13B3C"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FA0472" w:rsidRPr="00EC4161" w14:paraId="6BFBD9FA"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5A71D144" w14:textId="77777777" w:rsidR="00FA0472" w:rsidRPr="00EC4161" w:rsidRDefault="00FA0472" w:rsidP="00D92C6C">
            <w:pPr>
              <w:rPr>
                <w:sz w:val="18"/>
                <w:szCs w:val="18"/>
              </w:rPr>
            </w:pPr>
            <w:r w:rsidRPr="00EC4161">
              <w:rPr>
                <w:sz w:val="18"/>
                <w:szCs w:val="18"/>
              </w:rPr>
              <w:t>&lt;&lt;KITÖLTENDŐ&gt;&gt;</w:t>
            </w:r>
          </w:p>
        </w:tc>
        <w:tc>
          <w:tcPr>
            <w:tcW w:w="2191" w:type="dxa"/>
          </w:tcPr>
          <w:p w14:paraId="5B760986" w14:textId="77777777" w:rsidR="00FA0472" w:rsidRPr="00EC416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EC4161">
              <w:rPr>
                <w:sz w:val="18"/>
                <w:szCs w:val="18"/>
              </w:rPr>
              <w:t xml:space="preserve">&lt;&lt;pl. kérdőíves felmérés / </w:t>
            </w:r>
            <w:proofErr w:type="spellStart"/>
            <w:r w:rsidRPr="00EC4161">
              <w:rPr>
                <w:sz w:val="18"/>
                <w:szCs w:val="18"/>
              </w:rPr>
              <w:t>Neptun</w:t>
            </w:r>
            <w:proofErr w:type="spellEnd"/>
            <w:r w:rsidRPr="00EC4161">
              <w:rPr>
                <w:sz w:val="18"/>
                <w:szCs w:val="18"/>
              </w:rPr>
              <w:t xml:space="preserve"> adatok / interjú / benchmark&gt;&gt;</w:t>
            </w:r>
          </w:p>
        </w:tc>
        <w:tc>
          <w:tcPr>
            <w:tcW w:w="2392" w:type="dxa"/>
          </w:tcPr>
          <w:p w14:paraId="5A584221" w14:textId="77777777" w:rsidR="00FA0472" w:rsidRPr="00EC416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EC4161">
              <w:rPr>
                <w:sz w:val="18"/>
                <w:szCs w:val="18"/>
              </w:rPr>
              <w:t>&lt;&lt;pl. 1. ábra; 5. táblázat; 3. melléklet&gt;&gt;</w:t>
            </w:r>
          </w:p>
        </w:tc>
        <w:tc>
          <w:tcPr>
            <w:tcW w:w="2171" w:type="dxa"/>
          </w:tcPr>
          <w:p w14:paraId="06EDCDC6" w14:textId="77777777" w:rsidR="00FA0472" w:rsidRPr="00EC416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FA0472" w:rsidRPr="00EC4161" w14:paraId="3ACF7A86"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37E63CBD" w14:textId="77777777" w:rsidR="00FA0472" w:rsidRPr="00EC4161" w:rsidRDefault="00FA0472" w:rsidP="00D92C6C">
            <w:pPr>
              <w:rPr>
                <w:sz w:val="18"/>
                <w:szCs w:val="18"/>
              </w:rPr>
            </w:pPr>
            <w:r w:rsidRPr="00EC4161">
              <w:rPr>
                <w:sz w:val="18"/>
                <w:szCs w:val="18"/>
              </w:rPr>
              <w:t>&lt;&lt;KITÖLTENDŐ&gt;&gt;</w:t>
            </w:r>
          </w:p>
        </w:tc>
        <w:tc>
          <w:tcPr>
            <w:tcW w:w="2191" w:type="dxa"/>
          </w:tcPr>
          <w:p w14:paraId="16B4EE50"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EC4161">
              <w:rPr>
                <w:sz w:val="18"/>
                <w:szCs w:val="18"/>
              </w:rPr>
              <w:t xml:space="preserve">&lt;&lt;pl. kérdőíves felmérés / </w:t>
            </w:r>
            <w:proofErr w:type="spellStart"/>
            <w:r w:rsidRPr="00EC4161">
              <w:rPr>
                <w:sz w:val="18"/>
                <w:szCs w:val="18"/>
              </w:rPr>
              <w:t>Neptun</w:t>
            </w:r>
            <w:proofErr w:type="spellEnd"/>
            <w:r w:rsidRPr="00EC4161">
              <w:rPr>
                <w:sz w:val="18"/>
                <w:szCs w:val="18"/>
              </w:rPr>
              <w:t xml:space="preserve"> adatok / interjú / benchmark&gt;&gt;</w:t>
            </w:r>
          </w:p>
        </w:tc>
        <w:tc>
          <w:tcPr>
            <w:tcW w:w="2392" w:type="dxa"/>
          </w:tcPr>
          <w:p w14:paraId="362729C3"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EC4161">
              <w:rPr>
                <w:sz w:val="18"/>
                <w:szCs w:val="18"/>
              </w:rPr>
              <w:t>&lt;&lt;pl. 1. ábra; 5. táblázat; 3. melléklet&gt;&gt;</w:t>
            </w:r>
          </w:p>
        </w:tc>
        <w:tc>
          <w:tcPr>
            <w:tcW w:w="2171" w:type="dxa"/>
          </w:tcPr>
          <w:p w14:paraId="1779E83F"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FA0472" w:rsidRPr="00EC4161" w14:paraId="5AACF86B"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449C4504" w14:textId="77777777" w:rsidR="00FA0472" w:rsidRPr="00EC4161" w:rsidRDefault="00FA0472" w:rsidP="00D92C6C">
            <w:pPr>
              <w:rPr>
                <w:sz w:val="18"/>
                <w:szCs w:val="18"/>
              </w:rPr>
            </w:pPr>
            <w:r w:rsidRPr="00EC4161">
              <w:rPr>
                <w:sz w:val="18"/>
                <w:szCs w:val="18"/>
              </w:rPr>
              <w:t>&lt;&lt;KITÖLTENDŐ&gt;&gt;</w:t>
            </w:r>
          </w:p>
        </w:tc>
        <w:tc>
          <w:tcPr>
            <w:tcW w:w="2191" w:type="dxa"/>
          </w:tcPr>
          <w:p w14:paraId="3A10783B" w14:textId="77777777" w:rsidR="00FA0472" w:rsidRPr="00EC416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EC4161">
              <w:rPr>
                <w:sz w:val="18"/>
                <w:szCs w:val="18"/>
              </w:rPr>
              <w:t xml:space="preserve">&lt;&lt;pl. kérdőíves felmérés / </w:t>
            </w:r>
            <w:proofErr w:type="spellStart"/>
            <w:r w:rsidRPr="00EC4161">
              <w:rPr>
                <w:sz w:val="18"/>
                <w:szCs w:val="18"/>
              </w:rPr>
              <w:t>Neptun</w:t>
            </w:r>
            <w:proofErr w:type="spellEnd"/>
            <w:r w:rsidRPr="00EC4161">
              <w:rPr>
                <w:sz w:val="18"/>
                <w:szCs w:val="18"/>
              </w:rPr>
              <w:t xml:space="preserve"> adatok / interjú / benchmark&gt;&gt;</w:t>
            </w:r>
          </w:p>
        </w:tc>
        <w:tc>
          <w:tcPr>
            <w:tcW w:w="2392" w:type="dxa"/>
          </w:tcPr>
          <w:p w14:paraId="24E137BE" w14:textId="77777777" w:rsidR="00FA0472" w:rsidRPr="00EC416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EC4161">
              <w:rPr>
                <w:sz w:val="18"/>
                <w:szCs w:val="18"/>
              </w:rPr>
              <w:t>&lt;&lt;pl. 1. ábra; 5. táblázat; 3. melléklet&gt;&gt;</w:t>
            </w:r>
          </w:p>
        </w:tc>
        <w:tc>
          <w:tcPr>
            <w:tcW w:w="2171" w:type="dxa"/>
          </w:tcPr>
          <w:p w14:paraId="6F24325C" w14:textId="77777777" w:rsidR="00FA0472" w:rsidRPr="00EC416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FA0472" w:rsidRPr="00EC4161" w14:paraId="29549183"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38C30A98" w14:textId="77777777" w:rsidR="00FA0472" w:rsidRPr="00EC4161" w:rsidRDefault="00FA0472" w:rsidP="00D92C6C">
            <w:pPr>
              <w:rPr>
                <w:sz w:val="18"/>
                <w:szCs w:val="18"/>
              </w:rPr>
            </w:pPr>
            <w:r w:rsidRPr="00EC4161">
              <w:rPr>
                <w:sz w:val="18"/>
                <w:szCs w:val="18"/>
              </w:rPr>
              <w:t>&lt;&lt;KITÖLTENDŐ&gt;&gt;</w:t>
            </w:r>
          </w:p>
        </w:tc>
        <w:tc>
          <w:tcPr>
            <w:tcW w:w="2191" w:type="dxa"/>
          </w:tcPr>
          <w:p w14:paraId="2D7A4E60"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EC4161">
              <w:rPr>
                <w:sz w:val="18"/>
                <w:szCs w:val="18"/>
              </w:rPr>
              <w:t xml:space="preserve">&lt;&lt;pl. kérdőíves felmérés / </w:t>
            </w:r>
            <w:proofErr w:type="spellStart"/>
            <w:r w:rsidRPr="00EC4161">
              <w:rPr>
                <w:sz w:val="18"/>
                <w:szCs w:val="18"/>
              </w:rPr>
              <w:t>Neptun</w:t>
            </w:r>
            <w:proofErr w:type="spellEnd"/>
            <w:r w:rsidRPr="00EC4161">
              <w:rPr>
                <w:sz w:val="18"/>
                <w:szCs w:val="18"/>
              </w:rPr>
              <w:t xml:space="preserve"> adatok / interjú / benchmark&gt;&gt;</w:t>
            </w:r>
          </w:p>
        </w:tc>
        <w:tc>
          <w:tcPr>
            <w:tcW w:w="2392" w:type="dxa"/>
          </w:tcPr>
          <w:p w14:paraId="481D7498"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EC4161">
              <w:rPr>
                <w:sz w:val="18"/>
                <w:szCs w:val="18"/>
              </w:rPr>
              <w:t>&lt;&lt;pl. 1. ábra; 5. táblázat; 3. melléklet&gt;&gt;</w:t>
            </w:r>
          </w:p>
        </w:tc>
        <w:tc>
          <w:tcPr>
            <w:tcW w:w="2171" w:type="dxa"/>
          </w:tcPr>
          <w:p w14:paraId="2D0EBC25" w14:textId="77777777" w:rsidR="00FA0472" w:rsidRPr="00EC416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p>
        </w:tc>
      </w:tr>
    </w:tbl>
    <w:p w14:paraId="2C5F1FAA" w14:textId="77777777" w:rsidR="00FA0472" w:rsidRPr="002B0721" w:rsidRDefault="00FA0472" w:rsidP="00FA0472">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FA0472" w:rsidRPr="002B0721" w14:paraId="30862455"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84E84C3" w14:textId="77777777" w:rsidR="00FA0472" w:rsidRPr="002B0721" w:rsidRDefault="00FA0472" w:rsidP="00D92C6C">
            <w:pPr>
              <w:rPr>
                <w:sz w:val="18"/>
                <w:szCs w:val="18"/>
              </w:rPr>
            </w:pPr>
            <w:r w:rsidRPr="002B0721">
              <w:rPr>
                <w:sz w:val="18"/>
                <w:szCs w:val="18"/>
              </w:rPr>
              <w:t>ESG standard(ok)</w:t>
            </w:r>
          </w:p>
        </w:tc>
        <w:tc>
          <w:tcPr>
            <w:tcW w:w="3034" w:type="dxa"/>
          </w:tcPr>
          <w:p w14:paraId="57481C08"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Hogyan kapcsolódik a pillérhez?</w:t>
            </w:r>
          </w:p>
        </w:tc>
        <w:tc>
          <w:tcPr>
            <w:tcW w:w="3068" w:type="dxa"/>
          </w:tcPr>
          <w:p w14:paraId="04684E07"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(fejezet/ábra/táblázat)</w:t>
            </w:r>
          </w:p>
        </w:tc>
      </w:tr>
      <w:tr w:rsidR="00FA0472" w:rsidRPr="002B0721" w14:paraId="5DC8FB42"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52C96CA" w14:textId="2283BB44" w:rsidR="00FA0472" w:rsidRPr="006058C4" w:rsidRDefault="00510653" w:rsidP="00D92C6C">
            <w:pPr>
              <w:rPr>
                <w:sz w:val="18"/>
                <w:szCs w:val="18"/>
              </w:rPr>
            </w:pPr>
            <w:r w:rsidRPr="006058C4">
              <w:rPr>
                <w:sz w:val="18"/>
                <w:szCs w:val="18"/>
              </w:rPr>
              <w:t>1.5 Oktatók</w:t>
            </w:r>
          </w:p>
        </w:tc>
        <w:tc>
          <w:tcPr>
            <w:tcW w:w="3034" w:type="dxa"/>
          </w:tcPr>
          <w:p w14:paraId="3AA188EB" w14:textId="301A642E" w:rsidR="00FA0472" w:rsidRPr="00096C8E" w:rsidRDefault="00510653"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 pillér feltárja az oktatói terhelést, a pedagógiai innovációs kapacitást és a fejlesztési támogatási igényeket, amelyek az oktatói minőség fenntartásának és fejlesztésének alapfeltételei.</w:t>
            </w:r>
          </w:p>
        </w:tc>
        <w:tc>
          <w:tcPr>
            <w:tcW w:w="3068" w:type="dxa"/>
          </w:tcPr>
          <w:p w14:paraId="620E686D" w14:textId="06CA608F" w:rsidR="00FA0472" w:rsidRPr="00096C8E" w:rsidRDefault="00510653"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D) Fő megállapítások; E) Döntési opciók</w:t>
            </w:r>
          </w:p>
        </w:tc>
      </w:tr>
      <w:tr w:rsidR="00FA0472" w:rsidRPr="002B0721" w14:paraId="04FF5FF6"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025BEEC5" w14:textId="77777777" w:rsidR="00FA0472" w:rsidRPr="002B0721" w:rsidRDefault="00FA0472" w:rsidP="00D92C6C">
            <w:pPr>
              <w:rPr>
                <w:sz w:val="18"/>
                <w:szCs w:val="18"/>
              </w:rPr>
            </w:pPr>
            <w:r w:rsidRPr="002B0721">
              <w:rPr>
                <w:sz w:val="18"/>
                <w:szCs w:val="18"/>
              </w:rPr>
              <w:t>1.3</w:t>
            </w:r>
          </w:p>
        </w:tc>
        <w:tc>
          <w:tcPr>
            <w:tcW w:w="3034" w:type="dxa"/>
          </w:tcPr>
          <w:p w14:paraId="1BE39C3D"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05ED8B23"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FA0472" w:rsidRPr="002B0721" w14:paraId="5D88EFD5"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4111437" w14:textId="77777777" w:rsidR="00FA0472" w:rsidRPr="002B0721" w:rsidRDefault="00FA0472" w:rsidP="00D92C6C">
            <w:pPr>
              <w:rPr>
                <w:sz w:val="18"/>
                <w:szCs w:val="18"/>
              </w:rPr>
            </w:pPr>
            <w:r w:rsidRPr="002B0721">
              <w:rPr>
                <w:sz w:val="18"/>
                <w:szCs w:val="18"/>
              </w:rPr>
              <w:t>1.4</w:t>
            </w:r>
          </w:p>
        </w:tc>
        <w:tc>
          <w:tcPr>
            <w:tcW w:w="3034" w:type="dxa"/>
          </w:tcPr>
          <w:p w14:paraId="2E41767F"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206BAAEC"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FA0472" w:rsidRPr="002B0721" w14:paraId="7FC4D6E3"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69659EE2" w14:textId="77777777" w:rsidR="00FA0472" w:rsidRPr="002B0721" w:rsidRDefault="00FA0472" w:rsidP="00D92C6C">
            <w:pPr>
              <w:rPr>
                <w:sz w:val="18"/>
                <w:szCs w:val="18"/>
              </w:rPr>
            </w:pPr>
            <w:r w:rsidRPr="002B0721">
              <w:rPr>
                <w:sz w:val="18"/>
                <w:szCs w:val="18"/>
              </w:rPr>
              <w:t>1.6</w:t>
            </w:r>
          </w:p>
        </w:tc>
        <w:tc>
          <w:tcPr>
            <w:tcW w:w="3034" w:type="dxa"/>
          </w:tcPr>
          <w:p w14:paraId="7A8D4281"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183D391D"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FA0472" w:rsidRPr="002B0721" w14:paraId="6F8092AC"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3D74BC00" w14:textId="77777777" w:rsidR="00FA0472" w:rsidRPr="002B0721" w:rsidRDefault="00FA0472" w:rsidP="00D92C6C">
            <w:pPr>
              <w:rPr>
                <w:sz w:val="18"/>
                <w:szCs w:val="18"/>
              </w:rPr>
            </w:pPr>
            <w:r w:rsidRPr="002B0721">
              <w:rPr>
                <w:sz w:val="18"/>
                <w:szCs w:val="18"/>
              </w:rPr>
              <w:t>1.7</w:t>
            </w:r>
          </w:p>
        </w:tc>
        <w:tc>
          <w:tcPr>
            <w:tcW w:w="3034" w:type="dxa"/>
          </w:tcPr>
          <w:p w14:paraId="425D1774"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0859939D"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FA0472" w:rsidRPr="002B0721" w14:paraId="02CD4C97"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3287C9DF" w14:textId="77777777" w:rsidR="00FA0472" w:rsidRPr="002B0721" w:rsidRDefault="00FA0472" w:rsidP="00D92C6C">
            <w:pPr>
              <w:rPr>
                <w:sz w:val="18"/>
                <w:szCs w:val="18"/>
              </w:rPr>
            </w:pPr>
            <w:r w:rsidRPr="002B0721">
              <w:rPr>
                <w:sz w:val="18"/>
                <w:szCs w:val="18"/>
              </w:rPr>
              <w:t>1.9</w:t>
            </w:r>
          </w:p>
        </w:tc>
        <w:tc>
          <w:tcPr>
            <w:tcW w:w="3034" w:type="dxa"/>
          </w:tcPr>
          <w:p w14:paraId="1E582D61"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37D1B303"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18FFEFCF" w14:textId="77777777" w:rsidR="0092683F" w:rsidRPr="002B0721" w:rsidRDefault="0092683F" w:rsidP="00FA0472"/>
    <w:p w14:paraId="2D9F9F76" w14:textId="77777777" w:rsidR="00FA0472" w:rsidRPr="002B0721" w:rsidRDefault="00FA0472">
      <w:pPr>
        <w:spacing w:after="160" w:line="259" w:lineRule="auto"/>
        <w:jc w:val="left"/>
        <w:rPr>
          <w:rFonts w:eastAsiaTheme="majorEastAsia" w:cstheme="majorBidi"/>
          <w:b/>
          <w:color w:val="C00000"/>
          <w:szCs w:val="32"/>
        </w:rPr>
      </w:pPr>
      <w:r w:rsidRPr="002B0721">
        <w:br w:type="page"/>
      </w:r>
    </w:p>
    <w:p w14:paraId="5FB53261" w14:textId="77777777" w:rsidR="00FA0472" w:rsidRPr="002B0721" w:rsidRDefault="00FA0472" w:rsidP="00FA0472">
      <w:pPr>
        <w:pStyle w:val="Heading2"/>
      </w:pPr>
      <w:r w:rsidRPr="002B0721">
        <w:t>3. pillér - Munkaerőpiaci relevancia és kompetencia-illeszkedés</w:t>
      </w:r>
    </w:p>
    <w:p w14:paraId="0050C1EB" w14:textId="77777777" w:rsidR="00593570" w:rsidRDefault="00032A4C">
      <w:pPr>
        <w:pStyle w:val="Infobox"/>
      </w:pPr>
      <w:r>
        <w:t xml:space="preserve">INFOBOX: Ebben a pillérben azt kell bemutatni, hogy a program mennyiben készít fel a valós szakmai pályákra és kompetenciaelvárásokra. Támaszkodjon DPR- vagy </w:t>
      </w:r>
      <w:proofErr w:type="spellStart"/>
      <w:r>
        <w:t>alumni</w:t>
      </w:r>
      <w:proofErr w:type="spellEnd"/>
      <w:r>
        <w:t xml:space="preserve"> adatokra, munkaadói visszajelzésekre, valamint lehetőség szerint ESCO</w:t>
      </w:r>
      <w:r w:rsidR="00593570">
        <w:rPr>
          <w:rStyle w:val="FootnoteReference"/>
        </w:rPr>
        <w:footnoteReference w:id="2"/>
      </w:r>
      <w:r>
        <w:t xml:space="preserve"> vagy más kompetenciatérképezési elemzésekre. A cél annak feltárása, hogy mely kompetenciák erősek, melyek hiányoznak vagy </w:t>
      </w:r>
      <w:proofErr w:type="spellStart"/>
      <w:r>
        <w:t>alulreprezentáltak</w:t>
      </w:r>
      <w:proofErr w:type="spellEnd"/>
      <w:r>
        <w:t xml:space="preserve">, és ezek milyen tantervi következményekkel járnak. A fejezetből világosan ki kell derülnie, hogy a szak értékajánlata mennyire igazolható a foglalkoztathatóság és a szakmai illeszkedés oldaláról. </w:t>
      </w:r>
    </w:p>
    <w:p w14:paraId="455A9C23" w14:textId="718B1926" w:rsidR="00DA0DBC" w:rsidRDefault="00032A4C">
      <w:pPr>
        <w:pStyle w:val="Infobox"/>
      </w:pPr>
      <w:r>
        <w:t>Kapcsolódó ESG: 1.2 A képzési programok kialakítása és jóváhagyása, 1.7 Információkezelés, 1.8 Nyilvános információk, 1.9 A képzési programok folyamatos figyelemmel kísérése és rendszeres értékelése.</w:t>
      </w:r>
    </w:p>
    <w:p w14:paraId="629329ED" w14:textId="77777777" w:rsidR="00593570" w:rsidRDefault="00593570" w:rsidP="00593570"/>
    <w:p w14:paraId="3D9095BF" w14:textId="4B60FB3D" w:rsidR="00FA0472" w:rsidRPr="002B0721" w:rsidRDefault="00FA0472" w:rsidP="00FA0472">
      <w:pPr>
        <w:pStyle w:val="Heading3"/>
      </w:pPr>
      <w:r w:rsidRPr="002B0721">
        <w:t>A) Cél és kulcskérdések</w:t>
      </w:r>
    </w:p>
    <w:p w14:paraId="6ECDA131" w14:textId="77777777" w:rsidR="00FA0472" w:rsidRPr="002B0721" w:rsidRDefault="00FA0472" w:rsidP="00FA0472">
      <w:r w:rsidRPr="002B0721">
        <w:rPr>
          <w:i/>
          <w:color w:val="005A9C"/>
        </w:rPr>
        <w:t>&lt;&lt;</w:t>
      </w:r>
      <w:proofErr w:type="spellStart"/>
      <w:r w:rsidRPr="002B0721">
        <w:rPr>
          <w:i/>
          <w:color w:val="005A9C"/>
        </w:rPr>
        <w:t>max</w:t>
      </w:r>
      <w:proofErr w:type="spellEnd"/>
      <w:r w:rsidRPr="002B0721">
        <w:rPr>
          <w:i/>
          <w:color w:val="005A9C"/>
        </w:rPr>
        <w:t>. 5 kérdés&gt;&gt;</w:t>
      </w:r>
    </w:p>
    <w:p w14:paraId="5E74BE71" w14:textId="0480A110" w:rsidR="006D032B" w:rsidRDefault="006D032B" w:rsidP="006D032B">
      <w:pPr>
        <w:pStyle w:val="ListParagraph"/>
        <w:numPr>
          <w:ilvl w:val="0"/>
          <w:numId w:val="3"/>
        </w:numPr>
        <w:rPr>
          <w:highlight w:val="yellow"/>
        </w:rPr>
      </w:pPr>
      <w:r w:rsidRPr="00B064BC">
        <w:rPr>
          <w:highlight w:val="yellow"/>
        </w:rPr>
        <w:t>Milyen arányban helyezkednek el a végzettek végzettségnek megfelelő munkakörben (FEOR-lista szerint)?</w:t>
      </w:r>
    </w:p>
    <w:p w14:paraId="714601B3" w14:textId="77777777" w:rsidR="006D032B" w:rsidRPr="00B064BC" w:rsidRDefault="006D032B" w:rsidP="006D032B">
      <w:pPr>
        <w:pStyle w:val="ListParagraph"/>
        <w:numPr>
          <w:ilvl w:val="0"/>
          <w:numId w:val="3"/>
        </w:numPr>
        <w:rPr>
          <w:highlight w:val="yellow"/>
        </w:rPr>
      </w:pPr>
      <w:r w:rsidRPr="006D032B">
        <w:rPr>
          <w:highlight w:val="yellow"/>
        </w:rPr>
        <w:t>Hol van a legnagyobb kompetencia-</w:t>
      </w:r>
      <w:proofErr w:type="spellStart"/>
      <w:r w:rsidRPr="006D032B">
        <w:rPr>
          <w:highlight w:val="yellow"/>
        </w:rPr>
        <w:t>gap</w:t>
      </w:r>
      <w:proofErr w:type="spellEnd"/>
      <w:r w:rsidRPr="006D032B">
        <w:rPr>
          <w:highlight w:val="yellow"/>
        </w:rPr>
        <w:t xml:space="preserve"> (ESCO/munkaadói elvárások </w:t>
      </w:r>
      <w:r w:rsidRPr="006D032B">
        <w:rPr>
          <w:rFonts w:ascii="Times New Roman" w:hAnsi="Times New Roman" w:cs="Times New Roman"/>
          <w:highlight w:val="yellow"/>
        </w:rPr>
        <w:t>↔</w:t>
      </w:r>
      <w:r w:rsidRPr="006D032B">
        <w:rPr>
          <w:highlight w:val="yellow"/>
        </w:rPr>
        <w:t xml:space="preserve"> képzés során elsajátított kompetenciák)?</w:t>
      </w:r>
    </w:p>
    <w:p w14:paraId="46D83AAD" w14:textId="73F2C212" w:rsidR="006D032B" w:rsidRPr="00B064BC" w:rsidRDefault="006D032B" w:rsidP="006D032B">
      <w:pPr>
        <w:pStyle w:val="ListParagraph"/>
        <w:numPr>
          <w:ilvl w:val="0"/>
          <w:numId w:val="3"/>
        </w:numPr>
        <w:rPr>
          <w:highlight w:val="yellow"/>
        </w:rPr>
      </w:pPr>
      <w:r w:rsidRPr="006D032B">
        <w:rPr>
          <w:highlight w:val="yellow"/>
        </w:rPr>
        <w:t>Mely tantervi elemek adják a „munkaerőpiaci bizonyítékot” (projektek, labo</w:t>
      </w:r>
      <w:r w:rsidR="003E01CA">
        <w:rPr>
          <w:highlight w:val="yellow"/>
        </w:rPr>
        <w:t>rgyakorlat</w:t>
      </w:r>
      <w:r w:rsidRPr="006D032B">
        <w:rPr>
          <w:highlight w:val="yellow"/>
        </w:rPr>
        <w:t xml:space="preserve">, </w:t>
      </w:r>
      <w:proofErr w:type="spellStart"/>
      <w:r w:rsidRPr="006D032B">
        <w:rPr>
          <w:highlight w:val="yellow"/>
        </w:rPr>
        <w:t>gyakornokság</w:t>
      </w:r>
      <w:proofErr w:type="spellEnd"/>
      <w:r w:rsidRPr="006D032B">
        <w:rPr>
          <w:highlight w:val="yellow"/>
        </w:rPr>
        <w:t>)?</w:t>
      </w:r>
      <w:r w:rsidRPr="006D032B">
        <w:t xml:space="preserve"> </w:t>
      </w:r>
    </w:p>
    <w:p w14:paraId="37DAC0A3" w14:textId="77777777" w:rsidR="007906A7" w:rsidRPr="007906A7" w:rsidRDefault="006D032B" w:rsidP="007906A7">
      <w:pPr>
        <w:pStyle w:val="ListParagraph"/>
        <w:numPr>
          <w:ilvl w:val="0"/>
          <w:numId w:val="3"/>
        </w:numPr>
        <w:rPr>
          <w:iCs/>
          <w:highlight w:val="yellow"/>
        </w:rPr>
      </w:pPr>
      <w:r w:rsidRPr="006D032B">
        <w:rPr>
          <w:highlight w:val="yellow"/>
        </w:rPr>
        <w:t>Végzettek szerint mi volt hasznos / mi hiányzott (utólag felértékelődő tudáselemek)?</w:t>
      </w:r>
      <w:r w:rsidR="007906A7" w:rsidRPr="007906A7">
        <w:rPr>
          <w:highlight w:val="yellow"/>
        </w:rPr>
        <w:t xml:space="preserve"> </w:t>
      </w:r>
    </w:p>
    <w:p w14:paraId="46596B86" w14:textId="477392FD" w:rsidR="007906A7" w:rsidRPr="007906A7" w:rsidRDefault="007906A7" w:rsidP="007906A7">
      <w:pPr>
        <w:pStyle w:val="ListParagraph"/>
        <w:numPr>
          <w:ilvl w:val="0"/>
          <w:numId w:val="3"/>
        </w:numPr>
        <w:rPr>
          <w:iCs/>
          <w:highlight w:val="yellow"/>
        </w:rPr>
      </w:pPr>
      <w:r w:rsidRPr="00906D88">
        <w:rPr>
          <w:highlight w:val="yellow"/>
        </w:rPr>
        <w:t>Mely kompetenciák tekinthetők alap-hiánynak, amelyek több releváns munkakörcsoportban és több adatforrásban is visszatérően megjelennek?</w:t>
      </w:r>
    </w:p>
    <w:p w14:paraId="6F7ED9A8" w14:textId="77777777" w:rsidR="007906A7" w:rsidRPr="00906D88" w:rsidRDefault="007906A7" w:rsidP="007906A7">
      <w:pPr>
        <w:ind w:left="1416"/>
        <w:rPr>
          <w:i/>
          <w:iCs/>
          <w:color w:val="005A9C"/>
          <w:highlight w:val="yellow"/>
        </w:rPr>
      </w:pPr>
      <w:r w:rsidRPr="00906D88">
        <w:rPr>
          <w:i/>
          <w:iCs/>
          <w:highlight w:val="yellow"/>
        </w:rPr>
        <w:t>Fejlesztési cél: segíti a kompetenciafejlesztési prioritások kijelölését. A programfejlesztést a legnagyobb rendszerszintű hiányokra fókuszálja.</w:t>
      </w:r>
    </w:p>
    <w:p w14:paraId="7070E409" w14:textId="77777777" w:rsidR="007906A7" w:rsidRPr="007906A7" w:rsidRDefault="007906A7" w:rsidP="007906A7">
      <w:pPr>
        <w:pStyle w:val="ListParagraph"/>
        <w:numPr>
          <w:ilvl w:val="0"/>
          <w:numId w:val="3"/>
        </w:numPr>
        <w:rPr>
          <w:iCs/>
          <w:highlight w:val="yellow"/>
        </w:rPr>
      </w:pPr>
      <w:r w:rsidRPr="00906D88">
        <w:rPr>
          <w:highlight w:val="yellow"/>
        </w:rPr>
        <w:t xml:space="preserve">Mely tantervi elemekhez köthető a legnagyobb utólagos </w:t>
      </w:r>
      <w:proofErr w:type="spellStart"/>
      <w:r w:rsidRPr="00906D88">
        <w:rPr>
          <w:highlight w:val="yellow"/>
        </w:rPr>
        <w:t>alumni</w:t>
      </w:r>
      <w:proofErr w:type="spellEnd"/>
      <w:r w:rsidRPr="00906D88">
        <w:rPr>
          <w:highlight w:val="yellow"/>
        </w:rPr>
        <w:t xml:space="preserve"> hasznosság, és melyek azok, amelyek alacsony hasznosulást mutatnak a munkába állás után?</w:t>
      </w:r>
    </w:p>
    <w:p w14:paraId="35E91D97" w14:textId="77777777" w:rsidR="007906A7" w:rsidRPr="00906D88" w:rsidRDefault="007906A7" w:rsidP="007906A7">
      <w:pPr>
        <w:ind w:left="1416"/>
        <w:rPr>
          <w:i/>
          <w:iCs/>
          <w:color w:val="005A9C"/>
          <w:highlight w:val="yellow"/>
        </w:rPr>
      </w:pPr>
      <w:r w:rsidRPr="00906D88">
        <w:rPr>
          <w:i/>
          <w:iCs/>
          <w:highlight w:val="yellow"/>
        </w:rPr>
        <w:t xml:space="preserve">Fejlesztési cél: azonosítja a magas és alacsony hozzáadott értékű tantervi elemeket. Ez közvetlen alapot ad a kreditstruktúra és a tartalom </w:t>
      </w:r>
      <w:proofErr w:type="spellStart"/>
      <w:r w:rsidRPr="00906D88">
        <w:rPr>
          <w:i/>
          <w:iCs/>
          <w:highlight w:val="yellow"/>
        </w:rPr>
        <w:t>újrasúlyozásához</w:t>
      </w:r>
      <w:proofErr w:type="spellEnd"/>
      <w:r w:rsidRPr="00906D88">
        <w:rPr>
          <w:i/>
          <w:iCs/>
          <w:highlight w:val="yellow"/>
        </w:rPr>
        <w:t>.</w:t>
      </w:r>
    </w:p>
    <w:p w14:paraId="4B20E81F" w14:textId="77777777" w:rsidR="007906A7" w:rsidRPr="007906A7" w:rsidRDefault="007906A7" w:rsidP="007906A7">
      <w:pPr>
        <w:pStyle w:val="ListParagraph"/>
        <w:numPr>
          <w:ilvl w:val="0"/>
          <w:numId w:val="3"/>
        </w:numPr>
        <w:rPr>
          <w:iCs/>
          <w:highlight w:val="yellow"/>
        </w:rPr>
      </w:pPr>
      <w:r w:rsidRPr="00906D88">
        <w:rPr>
          <w:highlight w:val="yellow"/>
        </w:rPr>
        <w:t>A képzés értékajánlata mennyire látható és bizonyítható a hallgatók és a munkaadók számára projektek (szakdolgozat, diplomamunka), portfóliók (alkotást célzó feladatok), vagy ipari együttműködések formájában?</w:t>
      </w:r>
    </w:p>
    <w:p w14:paraId="038723AB" w14:textId="339DFBE2" w:rsidR="006D032B" w:rsidRPr="007906A7" w:rsidRDefault="007906A7" w:rsidP="00096C8E">
      <w:pPr>
        <w:ind w:left="1416"/>
        <w:rPr>
          <w:highlight w:val="yellow"/>
        </w:rPr>
      </w:pPr>
      <w:r w:rsidRPr="00906D88">
        <w:rPr>
          <w:i/>
          <w:iCs/>
          <w:highlight w:val="yellow"/>
        </w:rPr>
        <w:t>Fejlesztési cél: erősíti a képzés külső legitimációját és kommunikálhatóságát. Segít abban, hogy a program munkaerőpiaci erősségei ne csak implicit, hanem bizonyítható elemek legyenek.</w:t>
      </w:r>
    </w:p>
    <w:p w14:paraId="62F9EE51" w14:textId="77777777" w:rsidR="00FA0472" w:rsidRPr="002B0721" w:rsidRDefault="00FA0472" w:rsidP="00FA0472">
      <w:pPr>
        <w:pStyle w:val="ListParagraph"/>
        <w:numPr>
          <w:ilvl w:val="0"/>
          <w:numId w:val="3"/>
        </w:numPr>
      </w:pPr>
      <w:r w:rsidRPr="002B0721">
        <w:t>&lt;&lt;KITÖLTENDŐ&gt;&gt;</w:t>
      </w:r>
    </w:p>
    <w:p w14:paraId="29389176" w14:textId="77777777" w:rsidR="00FA0472" w:rsidRPr="002B0721" w:rsidRDefault="00FA0472" w:rsidP="00FA0472">
      <w:pPr>
        <w:pStyle w:val="Heading3"/>
      </w:pPr>
      <w:r w:rsidRPr="002B0721">
        <w:t>B) KPI-ok / mutatók</w:t>
      </w:r>
    </w:p>
    <w:p w14:paraId="7A313541" w14:textId="1E9DE737" w:rsidR="00FA0472" w:rsidRPr="002B0721" w:rsidRDefault="00FA0472" w:rsidP="00FA0472">
      <w:r w:rsidRPr="002B0721">
        <w:t>KPI / mutató tábla (trend + benchmark)</w:t>
      </w:r>
      <w:r w:rsidR="00005E43">
        <w:t>, elsősorban a végzettségnek megfelelő munkakörben történő elhelyezkedés; az szakhoz tartozó ESCO kompetenciák és a szak tényleges kompetenciakeretének összevetése</w:t>
      </w:r>
    </w:p>
    <w:tbl>
      <w:tblPr>
        <w:tblStyle w:val="GridTable5Dark-Accent1"/>
        <w:tblW w:w="0" w:type="auto"/>
        <w:tblLook w:val="04A0" w:firstRow="1" w:lastRow="0" w:firstColumn="1" w:lastColumn="0" w:noHBand="0" w:noVBand="1"/>
      </w:tblPr>
      <w:tblGrid>
        <w:gridCol w:w="1275"/>
        <w:gridCol w:w="1249"/>
        <w:gridCol w:w="900"/>
        <w:gridCol w:w="694"/>
        <w:gridCol w:w="1308"/>
        <w:gridCol w:w="1221"/>
        <w:gridCol w:w="1221"/>
        <w:gridCol w:w="1194"/>
      </w:tblGrid>
      <w:tr w:rsidR="00847F4A" w:rsidRPr="002B0721" w14:paraId="1C693B34"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4CD4F334" w14:textId="77777777" w:rsidR="00FA0472" w:rsidRPr="002B0721" w:rsidRDefault="00FA0472" w:rsidP="00D92C6C">
            <w:pPr>
              <w:rPr>
                <w:sz w:val="18"/>
                <w:szCs w:val="18"/>
              </w:rPr>
            </w:pPr>
            <w:r w:rsidRPr="002B0721">
              <w:rPr>
                <w:sz w:val="18"/>
                <w:szCs w:val="18"/>
              </w:rPr>
              <w:t>Mutató neve</w:t>
            </w:r>
          </w:p>
        </w:tc>
        <w:tc>
          <w:tcPr>
            <w:tcW w:w="1218" w:type="dxa"/>
          </w:tcPr>
          <w:p w14:paraId="2082DDA5"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Definíció t</w:t>
            </w:r>
          </w:p>
        </w:tc>
        <w:tc>
          <w:tcPr>
            <w:tcW w:w="1218" w:type="dxa"/>
          </w:tcPr>
          <w:p w14:paraId="577DCEEB"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Adatforrás</w:t>
            </w:r>
          </w:p>
        </w:tc>
        <w:tc>
          <w:tcPr>
            <w:tcW w:w="1218" w:type="dxa"/>
          </w:tcPr>
          <w:p w14:paraId="1077EE42"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218" w:type="dxa"/>
          </w:tcPr>
          <w:p w14:paraId="63FC0821"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1218" w:type="dxa"/>
          </w:tcPr>
          <w:p w14:paraId="56D0D5FE"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Bázisérték</w:t>
            </w:r>
          </w:p>
        </w:tc>
        <w:tc>
          <w:tcPr>
            <w:tcW w:w="1218" w:type="dxa"/>
          </w:tcPr>
          <w:p w14:paraId="24AE62B8"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Célérték</w:t>
            </w:r>
          </w:p>
        </w:tc>
        <w:tc>
          <w:tcPr>
            <w:tcW w:w="1218" w:type="dxa"/>
          </w:tcPr>
          <w:p w14:paraId="510DE078"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847F4A" w:rsidRPr="006058C4" w14:paraId="67A524AF"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F681C6B" w14:textId="77777777" w:rsidR="000E3AA9" w:rsidRPr="00032A4C" w:rsidRDefault="00032A4C">
            <w:pPr>
              <w:rPr>
                <w:sz w:val="18"/>
                <w:szCs w:val="18"/>
                <w:highlight w:val="yellow"/>
              </w:rPr>
            </w:pPr>
            <w:r w:rsidRPr="00032A4C">
              <w:rPr>
                <w:sz w:val="18"/>
                <w:szCs w:val="18"/>
                <w:highlight w:val="yellow"/>
              </w:rPr>
              <w:t>Képzésnek megfelelő munkakörben való elhelyezkedés</w:t>
            </w:r>
          </w:p>
        </w:tc>
        <w:tc>
          <w:tcPr>
            <w:tcW w:w="1218" w:type="dxa"/>
          </w:tcPr>
          <w:p w14:paraId="2816DF35"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végzett hallgatók aránya, akik a BME Felvételi Szabályzata 1. mellékletének 10. pontjában szakonként meghatározott FEOR-kód listának megfelelő munkát végeznek.</w:t>
            </w:r>
          </w:p>
        </w:tc>
        <w:tc>
          <w:tcPr>
            <w:tcW w:w="1218" w:type="dxa"/>
          </w:tcPr>
          <w:p w14:paraId="107DBFC9"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DPR</w:t>
            </w:r>
          </w:p>
        </w:tc>
        <w:tc>
          <w:tcPr>
            <w:tcW w:w="1218" w:type="dxa"/>
          </w:tcPr>
          <w:p w14:paraId="43333918"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2020–2025</w:t>
            </w:r>
          </w:p>
        </w:tc>
        <w:tc>
          <w:tcPr>
            <w:tcW w:w="1218" w:type="dxa"/>
          </w:tcPr>
          <w:p w14:paraId="1F22149A"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Végzési év; képzési szint; állampolgárság</w:t>
            </w:r>
          </w:p>
        </w:tc>
        <w:tc>
          <w:tcPr>
            <w:tcW w:w="1218" w:type="dxa"/>
          </w:tcPr>
          <w:p w14:paraId="797D2B56"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1F488D0"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2D317618"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formális illeszkedés mérésére</w:t>
            </w:r>
          </w:p>
        </w:tc>
      </w:tr>
      <w:tr w:rsidR="00847F4A" w:rsidRPr="006058C4" w14:paraId="614605DC"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5D8C4B16" w14:textId="77777777" w:rsidR="000E3AA9" w:rsidRPr="00032A4C" w:rsidRDefault="00032A4C">
            <w:pPr>
              <w:rPr>
                <w:sz w:val="18"/>
                <w:szCs w:val="18"/>
                <w:highlight w:val="yellow"/>
              </w:rPr>
            </w:pPr>
            <w:r w:rsidRPr="00032A4C">
              <w:rPr>
                <w:sz w:val="18"/>
                <w:szCs w:val="18"/>
                <w:highlight w:val="yellow"/>
              </w:rPr>
              <w:t>Medián elhelyezkedési idő</w:t>
            </w:r>
          </w:p>
        </w:tc>
        <w:tc>
          <w:tcPr>
            <w:tcW w:w="1218" w:type="dxa"/>
          </w:tcPr>
          <w:p w14:paraId="6A29790F"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diplomaszerzéstől az első releváns foglalkoztatásig eltelt medián idő.</w:t>
            </w:r>
          </w:p>
        </w:tc>
        <w:tc>
          <w:tcPr>
            <w:tcW w:w="1218" w:type="dxa"/>
          </w:tcPr>
          <w:p w14:paraId="54162E22"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DPR</w:t>
            </w:r>
          </w:p>
        </w:tc>
        <w:tc>
          <w:tcPr>
            <w:tcW w:w="1218" w:type="dxa"/>
          </w:tcPr>
          <w:p w14:paraId="71F4A797"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2020–2025</w:t>
            </w:r>
          </w:p>
        </w:tc>
        <w:tc>
          <w:tcPr>
            <w:tcW w:w="1218" w:type="dxa"/>
          </w:tcPr>
          <w:p w14:paraId="51CE3282"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Végzési év; képzési szint; finanszírozási forma</w:t>
            </w:r>
          </w:p>
        </w:tc>
        <w:tc>
          <w:tcPr>
            <w:tcW w:w="1218" w:type="dxa"/>
          </w:tcPr>
          <w:p w14:paraId="6E74795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5610AA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6E36EA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munkaerőpiaci beilleszkedés gyorsaságának mérésére</w:t>
            </w:r>
          </w:p>
        </w:tc>
      </w:tr>
      <w:tr w:rsidR="00847F4A" w:rsidRPr="006058C4" w14:paraId="65C54863"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E19EF44" w14:textId="77777777" w:rsidR="000E3AA9" w:rsidRPr="00032A4C" w:rsidRDefault="00032A4C">
            <w:pPr>
              <w:rPr>
                <w:sz w:val="18"/>
                <w:szCs w:val="18"/>
                <w:highlight w:val="yellow"/>
              </w:rPr>
            </w:pPr>
            <w:r w:rsidRPr="00032A4C">
              <w:rPr>
                <w:sz w:val="18"/>
                <w:szCs w:val="18"/>
                <w:highlight w:val="yellow"/>
              </w:rPr>
              <w:t>Kompetencia-gap prioritási index</w:t>
            </w:r>
          </w:p>
        </w:tc>
        <w:tc>
          <w:tcPr>
            <w:tcW w:w="1218" w:type="dxa"/>
          </w:tcPr>
          <w:p w14:paraId="13FCC678"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 ESCO / munkaadói elvárások és a hallgatói-alumni önértékelés közötti legnagyobb eltérések súlyozott mutatója a kulcskompetenciák körében.</w:t>
            </w:r>
          </w:p>
        </w:tc>
        <w:tc>
          <w:tcPr>
            <w:tcW w:w="1218" w:type="dxa"/>
          </w:tcPr>
          <w:p w14:paraId="63569700"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 xml:space="preserve">Nagymintás hallgatói és alumni kérdőív; munkaadói / WEF adatforrások; </w:t>
            </w:r>
            <w:proofErr w:type="gramStart"/>
            <w:r w:rsidRPr="00032A4C">
              <w:rPr>
                <w:sz w:val="18"/>
                <w:szCs w:val="18"/>
                <w:highlight w:val="yellow"/>
              </w:rPr>
              <w:t>ESCO-alapú</w:t>
            </w:r>
            <w:proofErr w:type="gramEnd"/>
            <w:r w:rsidRPr="00032A4C">
              <w:rPr>
                <w:sz w:val="18"/>
                <w:szCs w:val="18"/>
                <w:highlight w:val="yellow"/>
              </w:rPr>
              <w:t xml:space="preserve"> összevetés</w:t>
            </w:r>
          </w:p>
        </w:tc>
        <w:tc>
          <w:tcPr>
            <w:tcW w:w="1218" w:type="dxa"/>
          </w:tcPr>
          <w:p w14:paraId="0BEBB7B1"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2025–2026</w:t>
            </w:r>
          </w:p>
        </w:tc>
        <w:tc>
          <w:tcPr>
            <w:tcW w:w="1218" w:type="dxa"/>
          </w:tcPr>
          <w:p w14:paraId="6CF2A8DC"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Kompetenciacsoport; szak</w:t>
            </w:r>
          </w:p>
        </w:tc>
        <w:tc>
          <w:tcPr>
            <w:tcW w:w="1218" w:type="dxa"/>
          </w:tcPr>
          <w:p w14:paraId="3444FC87"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598A39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BC84B1E"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fejlesztési prioritások kijelölésére</w:t>
            </w:r>
          </w:p>
        </w:tc>
      </w:tr>
      <w:tr w:rsidR="00847F4A" w:rsidRPr="006058C4" w14:paraId="5E3D8FB5"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2DF69C62" w14:textId="77777777" w:rsidR="000E3AA9" w:rsidRPr="00032A4C" w:rsidRDefault="00032A4C">
            <w:pPr>
              <w:rPr>
                <w:sz w:val="18"/>
                <w:szCs w:val="18"/>
                <w:highlight w:val="yellow"/>
              </w:rPr>
            </w:pPr>
            <w:r w:rsidRPr="00032A4C">
              <w:rPr>
                <w:sz w:val="18"/>
                <w:szCs w:val="18"/>
                <w:highlight w:val="yellow"/>
              </w:rPr>
              <w:t>Munkaerőpiaci bizonyítékot adó kreditek aránya</w:t>
            </w:r>
          </w:p>
        </w:tc>
        <w:tc>
          <w:tcPr>
            <w:tcW w:w="1218" w:type="dxa"/>
          </w:tcPr>
          <w:p w14:paraId="68DA3750"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teljes mintatantervi kreditmennyiségből a projekthez, laborhoz, gyakorlathoz, portfólióhoz vagy ipari együttműködéshez kötődő kreditek aránya.</w:t>
            </w:r>
          </w:p>
        </w:tc>
        <w:tc>
          <w:tcPr>
            <w:tcW w:w="1218" w:type="dxa"/>
          </w:tcPr>
          <w:p w14:paraId="1688DE7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Tantárgyi adatlapok (TAD)</w:t>
            </w:r>
          </w:p>
        </w:tc>
        <w:tc>
          <w:tcPr>
            <w:tcW w:w="1218" w:type="dxa"/>
          </w:tcPr>
          <w:p w14:paraId="1BCC46D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2025</w:t>
            </w:r>
          </w:p>
        </w:tc>
        <w:tc>
          <w:tcPr>
            <w:tcW w:w="1218" w:type="dxa"/>
          </w:tcPr>
          <w:p w14:paraId="06C763E1"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Kötelező / választható; specializáció</w:t>
            </w:r>
          </w:p>
        </w:tc>
        <w:tc>
          <w:tcPr>
            <w:tcW w:w="1218" w:type="dxa"/>
          </w:tcPr>
          <w:p w14:paraId="2A4F6F2E"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468F347"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949D425"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kimeneti relevancia tantervi beágyazottságának mérésére</w:t>
            </w:r>
          </w:p>
        </w:tc>
      </w:tr>
      <w:tr w:rsidR="00847F4A" w:rsidRPr="006058C4" w14:paraId="23BE9F69"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705C51C0" w14:textId="77777777" w:rsidR="000E3AA9" w:rsidRPr="00032A4C" w:rsidRDefault="00032A4C">
            <w:pPr>
              <w:rPr>
                <w:sz w:val="18"/>
                <w:szCs w:val="18"/>
                <w:highlight w:val="yellow"/>
              </w:rPr>
            </w:pPr>
            <w:r w:rsidRPr="00032A4C">
              <w:rPr>
                <w:sz w:val="18"/>
                <w:szCs w:val="18"/>
                <w:highlight w:val="yellow"/>
              </w:rPr>
              <w:t>Alumni hasznosulási index</w:t>
            </w:r>
          </w:p>
        </w:tc>
        <w:tc>
          <w:tcPr>
            <w:tcW w:w="1218" w:type="dxa"/>
          </w:tcPr>
          <w:p w14:paraId="20B92970"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végzett hallgatók által utólag különösen hasznosnak ítélt tantervi elemekre adott értékelések összetett mutatója.</w:t>
            </w:r>
          </w:p>
        </w:tc>
        <w:tc>
          <w:tcPr>
            <w:tcW w:w="1218" w:type="dxa"/>
          </w:tcPr>
          <w:p w14:paraId="7A777CBC"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Nagymintás alumni kérdőív</w:t>
            </w:r>
          </w:p>
        </w:tc>
        <w:tc>
          <w:tcPr>
            <w:tcW w:w="1218" w:type="dxa"/>
          </w:tcPr>
          <w:p w14:paraId="54F92A56"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2026</w:t>
            </w:r>
          </w:p>
        </w:tc>
        <w:tc>
          <w:tcPr>
            <w:tcW w:w="1218" w:type="dxa"/>
          </w:tcPr>
          <w:p w14:paraId="75DA10C3"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Végzési év; szak; munkakörcsoport</w:t>
            </w:r>
          </w:p>
        </w:tc>
        <w:tc>
          <w:tcPr>
            <w:tcW w:w="1218" w:type="dxa"/>
          </w:tcPr>
          <w:p w14:paraId="49C1FBC8"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31E4F3B6"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37664E9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magas hozzáadott értékű elemek azonosítására</w:t>
            </w:r>
          </w:p>
        </w:tc>
      </w:tr>
      <w:tr w:rsidR="00847F4A" w:rsidRPr="006058C4" w14:paraId="7ACD2C03"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6AE260B4" w14:textId="77777777" w:rsidR="000E3AA9" w:rsidRPr="00032A4C" w:rsidRDefault="00032A4C">
            <w:pPr>
              <w:rPr>
                <w:sz w:val="18"/>
                <w:szCs w:val="18"/>
                <w:highlight w:val="yellow"/>
              </w:rPr>
            </w:pPr>
            <w:r w:rsidRPr="00032A4C">
              <w:rPr>
                <w:sz w:val="18"/>
                <w:szCs w:val="18"/>
                <w:highlight w:val="yellow"/>
              </w:rPr>
              <w:t>Kulcskompetenciák explicit tantervi lefedettsége</w:t>
            </w:r>
          </w:p>
        </w:tc>
        <w:tc>
          <w:tcPr>
            <w:tcW w:w="1218" w:type="dxa"/>
          </w:tcPr>
          <w:p w14:paraId="09A4D5C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azonosított kulcskompetenciák aránya, amelyek a TAD alapján legalább egy kötelező tantárgyban explicit módon megjelennek.</w:t>
            </w:r>
          </w:p>
        </w:tc>
        <w:tc>
          <w:tcPr>
            <w:tcW w:w="1218" w:type="dxa"/>
          </w:tcPr>
          <w:p w14:paraId="13A9D47D"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proofErr w:type="gramStart"/>
            <w:r w:rsidRPr="00032A4C">
              <w:rPr>
                <w:sz w:val="18"/>
                <w:szCs w:val="18"/>
                <w:highlight w:val="yellow"/>
              </w:rPr>
              <w:t>ESCO-alapú</w:t>
            </w:r>
            <w:proofErr w:type="gramEnd"/>
            <w:r w:rsidRPr="00032A4C">
              <w:rPr>
                <w:sz w:val="18"/>
                <w:szCs w:val="18"/>
                <w:highlight w:val="yellow"/>
              </w:rPr>
              <w:t xml:space="preserve"> összevetés; TAD</w:t>
            </w:r>
          </w:p>
        </w:tc>
        <w:tc>
          <w:tcPr>
            <w:tcW w:w="1218" w:type="dxa"/>
          </w:tcPr>
          <w:p w14:paraId="754984CA"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2025</w:t>
            </w:r>
          </w:p>
        </w:tc>
        <w:tc>
          <w:tcPr>
            <w:tcW w:w="1218" w:type="dxa"/>
          </w:tcPr>
          <w:p w14:paraId="2078413B"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Kompetenciacsoport</w:t>
            </w:r>
          </w:p>
        </w:tc>
        <w:tc>
          <w:tcPr>
            <w:tcW w:w="1218" w:type="dxa"/>
          </w:tcPr>
          <w:p w14:paraId="406B340C"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BB8925D"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22D3EA1B"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kompetenciakeret és a tanterv közötti kapcsolat láthatóvá tételére</w:t>
            </w:r>
          </w:p>
        </w:tc>
      </w:tr>
    </w:tbl>
    <w:p w14:paraId="2C1E7271" w14:textId="77777777" w:rsidR="00FA0472" w:rsidRPr="002B0721" w:rsidRDefault="00FA0472" w:rsidP="00FA0472">
      <w:pPr>
        <w:pStyle w:val="Heading3"/>
      </w:pPr>
      <w:r w:rsidRPr="002B0721">
        <w:t xml:space="preserve">C) Elemzések és ábrák </w:t>
      </w:r>
    </w:p>
    <w:p w14:paraId="27191C90"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09698D0B"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Szegmentáció (ha releváns)</w:t>
      </w:r>
    </w:p>
    <w:p w14:paraId="31549279"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Benchmark (ha elérhető)</w:t>
      </w:r>
    </w:p>
    <w:p w14:paraId="1483FDA2"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26A5E2E1" w14:textId="77777777" w:rsidR="00FA0472" w:rsidRPr="002B0721" w:rsidRDefault="00FA0472" w:rsidP="00FA0472">
      <w:pPr>
        <w:pStyle w:val="ListParagraph"/>
        <w:numPr>
          <w:ilvl w:val="0"/>
          <w:numId w:val="5"/>
        </w:numPr>
      </w:pPr>
      <w:proofErr w:type="gramStart"/>
      <w:r w:rsidRPr="002B0721">
        <w:t>[ ]</w:t>
      </w:r>
      <w:proofErr w:type="gramEnd"/>
      <w:r w:rsidRPr="002B0721">
        <w:t xml:space="preserve"> Kritikus pontok (tantárgyak) / kritikus tanulmányi utal </w:t>
      </w:r>
    </w:p>
    <w:p w14:paraId="44FD9FF7" w14:textId="77777777" w:rsidR="00FA0472" w:rsidRPr="002B0721" w:rsidRDefault="00FA0472" w:rsidP="00FA0472">
      <w:pPr>
        <w:pStyle w:val="Heading3"/>
      </w:pPr>
      <w:r w:rsidRPr="002B0721">
        <w:t>D) Fő megállapítások</w:t>
      </w:r>
    </w:p>
    <w:p w14:paraId="50EE927B" w14:textId="77777777" w:rsidR="00FA0472" w:rsidRPr="002B0721" w:rsidRDefault="00FA0472" w:rsidP="00FA0472">
      <w:r w:rsidRPr="002B0721">
        <w:rPr>
          <w:i/>
          <w:color w:val="005A9C"/>
        </w:rPr>
        <w:t>&lt;&lt;3-7 pont&gt;&gt;</w:t>
      </w:r>
    </w:p>
    <w:p w14:paraId="6B766B06" w14:textId="4A2E5D30" w:rsidR="00FA0472" w:rsidRDefault="006D032B" w:rsidP="00FA0472">
      <w:pPr>
        <w:pStyle w:val="ListParagraph"/>
        <w:numPr>
          <w:ilvl w:val="0"/>
          <w:numId w:val="6"/>
        </w:numPr>
        <w:rPr>
          <w:highlight w:val="yellow"/>
        </w:rPr>
      </w:pPr>
      <w:r w:rsidRPr="00B064BC">
        <w:rPr>
          <w:highlight w:val="yellow"/>
        </w:rPr>
        <w:t>Jó elhelyezkedés, de hiányzó kompetenciák azonosítható</w:t>
      </w:r>
      <w:r>
        <w:rPr>
          <w:highlight w:val="yellow"/>
        </w:rPr>
        <w:t>a</w:t>
      </w:r>
      <w:r w:rsidRPr="00B064BC">
        <w:rPr>
          <w:highlight w:val="yellow"/>
        </w:rPr>
        <w:t>k</w:t>
      </w:r>
      <w:r>
        <w:rPr>
          <w:highlight w:val="yellow"/>
        </w:rPr>
        <w:t>.</w:t>
      </w:r>
    </w:p>
    <w:p w14:paraId="7E612C49" w14:textId="77777777" w:rsidR="00B034CD" w:rsidRPr="00B034CD" w:rsidRDefault="00B034CD" w:rsidP="00B034CD">
      <w:pPr>
        <w:pStyle w:val="ListParagraph"/>
        <w:numPr>
          <w:ilvl w:val="0"/>
          <w:numId w:val="6"/>
        </w:numPr>
        <w:rPr>
          <w:iCs/>
          <w:highlight w:val="yellow"/>
        </w:rPr>
      </w:pPr>
      <w:r w:rsidRPr="00096C8E">
        <w:rPr>
          <w:highlight w:val="yellow"/>
        </w:rPr>
        <w:t>A végzettek elhelyezkedése kedvező, ugyanakkor a legnagyobb kompetencia-</w:t>
      </w:r>
      <w:proofErr w:type="spellStart"/>
      <w:r w:rsidRPr="00096C8E">
        <w:rPr>
          <w:highlight w:val="yellow"/>
        </w:rPr>
        <w:t>gap</w:t>
      </w:r>
      <w:proofErr w:type="spellEnd"/>
      <w:r w:rsidRPr="00096C8E">
        <w:rPr>
          <w:highlight w:val="yellow"/>
        </w:rPr>
        <w:t xml:space="preserve"> nem a szakmai magismeretekben, hanem az adatkezelés, </w:t>
      </w:r>
      <w:proofErr w:type="spellStart"/>
      <w:r w:rsidRPr="00096C8E">
        <w:rPr>
          <w:highlight w:val="yellow"/>
        </w:rPr>
        <w:t>automatizáció</w:t>
      </w:r>
      <w:proofErr w:type="spellEnd"/>
      <w:r w:rsidRPr="00096C8E">
        <w:rPr>
          <w:highlight w:val="yellow"/>
        </w:rPr>
        <w:t xml:space="preserve">, </w:t>
      </w:r>
      <w:proofErr w:type="spellStart"/>
      <w:r w:rsidRPr="00096C8E">
        <w:rPr>
          <w:highlight w:val="yellow"/>
        </w:rPr>
        <w:t>stakeholder</w:t>
      </w:r>
      <w:proofErr w:type="spellEnd"/>
      <w:r w:rsidRPr="00096C8E">
        <w:rPr>
          <w:highlight w:val="yellow"/>
        </w:rPr>
        <w:t>-kommunikáció és projektmunka terén jelenik meg.</w:t>
      </w:r>
    </w:p>
    <w:p w14:paraId="70ECE560" w14:textId="77777777" w:rsidR="00B034CD" w:rsidRPr="00096C8E" w:rsidRDefault="00B034CD" w:rsidP="00B034CD">
      <w:pPr>
        <w:ind w:left="1416"/>
        <w:rPr>
          <w:i/>
          <w:iCs/>
          <w:color w:val="005A9C"/>
          <w:highlight w:val="yellow"/>
        </w:rPr>
      </w:pPr>
      <w:r w:rsidRPr="00096C8E">
        <w:rPr>
          <w:i/>
          <w:iCs/>
          <w:highlight w:val="yellow"/>
        </w:rPr>
        <w:t xml:space="preserve">Fejlesztési cél és értelme: segít a programot a nagy munkaerőpiaci értékű, de gyakran tanterven kívülinek tekintett készségek felé nyitni, </w:t>
      </w:r>
      <w:proofErr w:type="gramStart"/>
      <w:r w:rsidRPr="00096C8E">
        <w:rPr>
          <w:i/>
          <w:iCs/>
          <w:highlight w:val="yellow"/>
        </w:rPr>
        <w:t>anélkül</w:t>
      </w:r>
      <w:proofErr w:type="gramEnd"/>
      <w:r w:rsidRPr="00096C8E">
        <w:rPr>
          <w:i/>
          <w:iCs/>
          <w:highlight w:val="yellow"/>
        </w:rPr>
        <w:t xml:space="preserve"> hogy az alaptudás sérülne.</w:t>
      </w:r>
    </w:p>
    <w:p w14:paraId="4B2893A1" w14:textId="77777777" w:rsidR="00B034CD" w:rsidRPr="00B034CD" w:rsidRDefault="00B034CD" w:rsidP="00B034CD">
      <w:pPr>
        <w:pStyle w:val="ListParagraph"/>
        <w:numPr>
          <w:ilvl w:val="0"/>
          <w:numId w:val="6"/>
        </w:numPr>
        <w:rPr>
          <w:iCs/>
          <w:highlight w:val="yellow"/>
        </w:rPr>
      </w:pPr>
      <w:r w:rsidRPr="00096C8E">
        <w:rPr>
          <w:highlight w:val="yellow"/>
        </w:rPr>
        <w:t>A legerősebb munkaerőpiaci bizonyítékot a projekt-, labor- és gyakorlati elemek adják, ezek lefedettsége azonban specializációk vagy hallgatói utak között egyenetlen.</w:t>
      </w:r>
    </w:p>
    <w:p w14:paraId="6EB455C9" w14:textId="77777777" w:rsidR="00B034CD" w:rsidRPr="00096C8E" w:rsidRDefault="00B034CD" w:rsidP="00B034CD">
      <w:pPr>
        <w:ind w:left="1416"/>
        <w:rPr>
          <w:i/>
          <w:iCs/>
          <w:color w:val="005A9C"/>
          <w:highlight w:val="yellow"/>
        </w:rPr>
      </w:pPr>
      <w:r w:rsidRPr="00096C8E">
        <w:rPr>
          <w:i/>
          <w:iCs/>
          <w:highlight w:val="yellow"/>
        </w:rPr>
        <w:t>Fejlesztési cél és értelme: a fejlesztési fókuszt azokra a tantervi elemekre irányítja, amelyek bizonyíthatóan javítják a kimeneti relevanciát, és csökkenti az egyenlőtlen hallgatói hozzáférést.</w:t>
      </w:r>
    </w:p>
    <w:p w14:paraId="174BF91B" w14:textId="77777777" w:rsidR="00B034CD" w:rsidRPr="00B034CD" w:rsidRDefault="00B034CD" w:rsidP="00B034CD">
      <w:pPr>
        <w:pStyle w:val="ListParagraph"/>
        <w:numPr>
          <w:ilvl w:val="0"/>
          <w:numId w:val="6"/>
        </w:numPr>
        <w:rPr>
          <w:iCs/>
          <w:highlight w:val="yellow"/>
        </w:rPr>
      </w:pPr>
      <w:r w:rsidRPr="00096C8E">
        <w:rPr>
          <w:highlight w:val="yellow"/>
        </w:rPr>
        <w:t>A FEOR-alapú illeszkedés mellett olyan végzett pályautak is megjelennek, amelyek formálisan nem teljesen fedik a szakot, de szakmailag relevánsak és értékesek.</w:t>
      </w:r>
    </w:p>
    <w:p w14:paraId="58A048AA" w14:textId="77777777" w:rsidR="00B034CD" w:rsidRPr="00E76CE9" w:rsidRDefault="00B034CD" w:rsidP="00B034CD">
      <w:pPr>
        <w:ind w:left="1416"/>
        <w:rPr>
          <w:i/>
          <w:iCs/>
          <w:color w:val="005A9C"/>
        </w:rPr>
      </w:pPr>
      <w:r w:rsidRPr="00096C8E">
        <w:rPr>
          <w:i/>
          <w:iCs/>
          <w:highlight w:val="yellow"/>
        </w:rPr>
        <w:t>Fejlesztési cél és értelme: árnyaltabb képet ad a program karrierkimeneteiről, és támogatja a képzés értékajánlatának, szakleírásának és kompetenciakeretének korszerűsítését.</w:t>
      </w:r>
    </w:p>
    <w:p w14:paraId="38F4A610" w14:textId="77777777" w:rsidR="00FA0472" w:rsidRPr="002B0721" w:rsidRDefault="00FA0472" w:rsidP="00FA0472">
      <w:pPr>
        <w:pStyle w:val="ListParagraph"/>
        <w:numPr>
          <w:ilvl w:val="0"/>
          <w:numId w:val="6"/>
        </w:numPr>
      </w:pPr>
      <w:r w:rsidRPr="002B0721">
        <w:t>&lt;&lt;KITÖLTENDŐ&gt;&gt;</w:t>
      </w:r>
    </w:p>
    <w:p w14:paraId="1C938869" w14:textId="77777777" w:rsidR="00FA0472" w:rsidRPr="002B0721" w:rsidRDefault="00FA0472" w:rsidP="00FA0472">
      <w:pPr>
        <w:pStyle w:val="Heading3"/>
      </w:pPr>
      <w:r w:rsidRPr="002B0721">
        <w:t>E) Döntési opciók</w:t>
      </w:r>
    </w:p>
    <w:p w14:paraId="62E4DA64" w14:textId="77777777" w:rsidR="00FA0472" w:rsidRPr="002B0721" w:rsidRDefault="00FA0472" w:rsidP="00FA0472">
      <w:r w:rsidRPr="002B0721">
        <w:t>Döntési opciók (min. 2-3 alternatíva)</w:t>
      </w:r>
    </w:p>
    <w:tbl>
      <w:tblPr>
        <w:tblStyle w:val="GridTable5Dark-Accent1"/>
        <w:tblW w:w="0" w:type="auto"/>
        <w:tblLook w:val="04A0" w:firstRow="1" w:lastRow="0" w:firstColumn="1" w:lastColumn="0" w:noHBand="0" w:noVBand="1"/>
      </w:tblPr>
      <w:tblGrid>
        <w:gridCol w:w="1011"/>
        <w:gridCol w:w="1936"/>
        <w:gridCol w:w="1788"/>
        <w:gridCol w:w="1619"/>
        <w:gridCol w:w="1114"/>
        <w:gridCol w:w="1594"/>
      </w:tblGrid>
      <w:tr w:rsidR="00FA0472" w:rsidRPr="002B0721" w14:paraId="2D9FDBA1"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009B1BA7" w14:textId="77777777" w:rsidR="00FA0472" w:rsidRPr="002B0721" w:rsidRDefault="00FA0472" w:rsidP="00D92C6C">
            <w:pPr>
              <w:rPr>
                <w:sz w:val="18"/>
                <w:szCs w:val="18"/>
              </w:rPr>
            </w:pPr>
            <w:r w:rsidRPr="002B0721">
              <w:rPr>
                <w:sz w:val="18"/>
                <w:szCs w:val="18"/>
              </w:rPr>
              <w:t>Opció</w:t>
            </w:r>
          </w:p>
        </w:tc>
        <w:tc>
          <w:tcPr>
            <w:tcW w:w="1624" w:type="dxa"/>
          </w:tcPr>
          <w:p w14:paraId="598089AB"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Leírás</w:t>
            </w:r>
          </w:p>
        </w:tc>
        <w:tc>
          <w:tcPr>
            <w:tcW w:w="1624" w:type="dxa"/>
          </w:tcPr>
          <w:p w14:paraId="332E4136"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 (KPI)</w:t>
            </w:r>
          </w:p>
        </w:tc>
        <w:tc>
          <w:tcPr>
            <w:tcW w:w="1624" w:type="dxa"/>
          </w:tcPr>
          <w:p w14:paraId="10887CA0"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Erőforrásigény / költség</w:t>
            </w:r>
          </w:p>
        </w:tc>
        <w:tc>
          <w:tcPr>
            <w:tcW w:w="1624" w:type="dxa"/>
          </w:tcPr>
          <w:p w14:paraId="5F21CEF4"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 (hónap)</w:t>
            </w:r>
          </w:p>
        </w:tc>
        <w:tc>
          <w:tcPr>
            <w:tcW w:w="1624" w:type="dxa"/>
          </w:tcPr>
          <w:p w14:paraId="2F0D55C3"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Fő kockázat + </w:t>
            </w:r>
            <w:proofErr w:type="spellStart"/>
            <w:r w:rsidRPr="002B0721">
              <w:rPr>
                <w:sz w:val="18"/>
                <w:szCs w:val="18"/>
              </w:rPr>
              <w:t>mitigáció</w:t>
            </w:r>
            <w:proofErr w:type="spellEnd"/>
          </w:p>
        </w:tc>
      </w:tr>
      <w:tr w:rsidR="00FA0472" w:rsidRPr="006058C4" w14:paraId="0A9A085E"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5A5EE1F5" w14:textId="77777777" w:rsidR="000E3AA9" w:rsidRPr="006058C4" w:rsidRDefault="00032A4C">
            <w:pPr>
              <w:rPr>
                <w:sz w:val="18"/>
                <w:szCs w:val="18"/>
              </w:rPr>
            </w:pPr>
            <w:r w:rsidRPr="006058C4">
              <w:rPr>
                <w:sz w:val="18"/>
                <w:szCs w:val="18"/>
              </w:rPr>
              <w:t>Opció 1</w:t>
            </w:r>
          </w:p>
        </w:tc>
        <w:tc>
          <w:tcPr>
            <w:tcW w:w="1624" w:type="dxa"/>
          </w:tcPr>
          <w:p w14:paraId="050F56D7"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2–3 kulcstárgy kompetenciafrissítése a legnagyobb kompetencia-gapekre fókuszálva (pl. adatelemzés, automatizáció, kommunikáció, projektmunka).</w:t>
            </w:r>
          </w:p>
        </w:tc>
        <w:tc>
          <w:tcPr>
            <w:tcW w:w="1624" w:type="dxa"/>
          </w:tcPr>
          <w:p w14:paraId="3883199F"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Kompetencia-gap prioritási index javulása; alumni hasznosulási index emelkedése</w:t>
            </w:r>
          </w:p>
        </w:tc>
        <w:tc>
          <w:tcPr>
            <w:tcW w:w="1624" w:type="dxa"/>
          </w:tcPr>
          <w:p w14:paraId="187AC65A"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Alacsony-közepes: meglévő tantárgyak célzott tartalmi korrekciója</w:t>
            </w:r>
          </w:p>
        </w:tc>
        <w:tc>
          <w:tcPr>
            <w:tcW w:w="1624" w:type="dxa"/>
          </w:tcPr>
          <w:p w14:paraId="39181927"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1–3</w:t>
            </w:r>
          </w:p>
        </w:tc>
        <w:tc>
          <w:tcPr>
            <w:tcW w:w="1624" w:type="dxa"/>
          </w:tcPr>
          <w:p w14:paraId="6C89B852"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Túl kicsi hatókör → csak a legnagyobb, több forrásból igazolt hiányokra fókuszáljon</w:t>
            </w:r>
          </w:p>
        </w:tc>
      </w:tr>
      <w:tr w:rsidR="00FA0472" w:rsidRPr="006058C4" w14:paraId="41E1D01B" w14:textId="77777777" w:rsidTr="00D92C6C">
        <w:tc>
          <w:tcPr>
            <w:cnfStyle w:val="001000000000" w:firstRow="0" w:lastRow="0" w:firstColumn="1" w:lastColumn="0" w:oddVBand="0" w:evenVBand="0" w:oddHBand="0" w:evenHBand="0" w:firstRowFirstColumn="0" w:firstRowLastColumn="0" w:lastRowFirstColumn="0" w:lastRowLastColumn="0"/>
            <w:tcW w:w="1624" w:type="dxa"/>
          </w:tcPr>
          <w:p w14:paraId="7A7102BE" w14:textId="77777777" w:rsidR="000E3AA9" w:rsidRPr="006058C4" w:rsidRDefault="00032A4C">
            <w:pPr>
              <w:rPr>
                <w:sz w:val="18"/>
                <w:szCs w:val="18"/>
              </w:rPr>
            </w:pPr>
            <w:r w:rsidRPr="006058C4">
              <w:rPr>
                <w:sz w:val="18"/>
                <w:szCs w:val="18"/>
              </w:rPr>
              <w:t>Opció 2</w:t>
            </w:r>
          </w:p>
        </w:tc>
        <w:tc>
          <w:tcPr>
            <w:tcW w:w="1624" w:type="dxa"/>
          </w:tcPr>
          <w:p w14:paraId="5C833506"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Ipari partnerekkel közös projekt- vagy esettanulmány-sáv kialakítása több tantárgyon átívelően, portfólióelemekkel és valós problémákra épülő feladatokkal.</w:t>
            </w:r>
          </w:p>
        </w:tc>
        <w:tc>
          <w:tcPr>
            <w:tcW w:w="1624" w:type="dxa"/>
          </w:tcPr>
          <w:p w14:paraId="309606B7"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Munkaerőpiaci bizonyítékot adó kreditek arányának növekedése; munkaerőpiaci készségekhez való alkalmazkodási arány javulása</w:t>
            </w:r>
          </w:p>
        </w:tc>
        <w:tc>
          <w:tcPr>
            <w:tcW w:w="1624" w:type="dxa"/>
          </w:tcPr>
          <w:p w14:paraId="068C64AA"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Közepes-magas: partnerkapcsolat, koordináció, tantárgyi egyeztetés</w:t>
            </w:r>
          </w:p>
        </w:tc>
        <w:tc>
          <w:tcPr>
            <w:tcW w:w="1624" w:type="dxa"/>
          </w:tcPr>
          <w:p w14:paraId="52FE7A7D"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4–8</w:t>
            </w:r>
          </w:p>
        </w:tc>
        <w:tc>
          <w:tcPr>
            <w:tcW w:w="1624" w:type="dxa"/>
          </w:tcPr>
          <w:p w14:paraId="07ADF81D"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Partneri kapacitás ingadozása → több partner és belső tartalék forgatókönyv</w:t>
            </w:r>
          </w:p>
        </w:tc>
      </w:tr>
      <w:tr w:rsidR="00FA0472" w:rsidRPr="006058C4" w14:paraId="41FEC505"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381416D3" w14:textId="77777777" w:rsidR="000E3AA9" w:rsidRPr="006058C4" w:rsidRDefault="00032A4C">
            <w:pPr>
              <w:rPr>
                <w:sz w:val="18"/>
                <w:szCs w:val="18"/>
              </w:rPr>
            </w:pPr>
            <w:r w:rsidRPr="006058C4">
              <w:rPr>
                <w:sz w:val="18"/>
                <w:szCs w:val="18"/>
              </w:rPr>
              <w:t>Opció 3</w:t>
            </w:r>
          </w:p>
        </w:tc>
        <w:tc>
          <w:tcPr>
            <w:tcW w:w="1624" w:type="dxa"/>
          </w:tcPr>
          <w:p w14:paraId="75BC6F85"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Éves kompetenciatérkép-felülvizsgálat bevezetése alumni, DPR és munkaadói visszajelzések alapján, a tantervi módosítások dokumentált visszacsatolásával.</w:t>
            </w:r>
          </w:p>
        </w:tc>
        <w:tc>
          <w:tcPr>
            <w:tcW w:w="1624" w:type="dxa"/>
          </w:tcPr>
          <w:p w14:paraId="590F3D79"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Kulcskompetenciák explicit tantervi lefedettségének javulása; képzésnek megfelelő munkakörben való elhelyezkedés stabilizálása vagy javulása</w:t>
            </w:r>
          </w:p>
        </w:tc>
        <w:tc>
          <w:tcPr>
            <w:tcW w:w="1624" w:type="dxa"/>
          </w:tcPr>
          <w:p w14:paraId="38B6240C"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Alacsony-közepes: elemzői és szakfelelősi kapacitás</w:t>
            </w:r>
          </w:p>
        </w:tc>
        <w:tc>
          <w:tcPr>
            <w:tcW w:w="1624" w:type="dxa"/>
          </w:tcPr>
          <w:p w14:paraId="3E91B913"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2–4</w:t>
            </w:r>
          </w:p>
        </w:tc>
        <w:tc>
          <w:tcPr>
            <w:tcW w:w="1624" w:type="dxa"/>
          </w:tcPr>
          <w:p w14:paraId="7775EA23"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 folyamat formalitássá válik → döntési következmények és nyomon követés kötelező rögzítése</w:t>
            </w:r>
          </w:p>
        </w:tc>
      </w:tr>
      <w:tr w:rsidR="000E3AA9" w:rsidRPr="006058C4" w14:paraId="03257C68" w14:textId="77777777" w:rsidTr="000E3AA9">
        <w:tc>
          <w:tcPr>
            <w:cnfStyle w:val="001000000000" w:firstRow="0" w:lastRow="0" w:firstColumn="1" w:lastColumn="0" w:oddVBand="0" w:evenVBand="0" w:oddHBand="0" w:evenHBand="0" w:firstRowFirstColumn="0" w:firstRowLastColumn="0" w:lastRowFirstColumn="0" w:lastRowLastColumn="0"/>
            <w:tcW w:w="675" w:type="dxa"/>
          </w:tcPr>
          <w:p w14:paraId="01A43190" w14:textId="77777777" w:rsidR="000E3AA9" w:rsidRPr="006058C4" w:rsidRDefault="00032A4C">
            <w:pPr>
              <w:rPr>
                <w:sz w:val="18"/>
                <w:szCs w:val="18"/>
              </w:rPr>
            </w:pPr>
            <w:r w:rsidRPr="006058C4">
              <w:rPr>
                <w:sz w:val="18"/>
                <w:szCs w:val="18"/>
              </w:rPr>
              <w:t>Opció 4</w:t>
            </w:r>
          </w:p>
        </w:tc>
        <w:tc>
          <w:tcPr>
            <w:tcW w:w="1799" w:type="dxa"/>
          </w:tcPr>
          <w:p w14:paraId="130E03B5"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Gyakornoki, kutatási vagy ipari feladatokra épülő alkalmazási portfólió kialakítása opcionális vagy kötelező elemként a képzés végén.</w:t>
            </w:r>
          </w:p>
        </w:tc>
        <w:tc>
          <w:tcPr>
            <w:tcW w:w="1647" w:type="dxa"/>
          </w:tcPr>
          <w:p w14:paraId="1BB0F88B"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Alumni hasznosulási index javulása; képzés értékajánlatának jobb láthatósága</w:t>
            </w:r>
          </w:p>
        </w:tc>
        <w:tc>
          <w:tcPr>
            <w:tcW w:w="1647" w:type="dxa"/>
          </w:tcPr>
          <w:p w14:paraId="6F3BBDE7"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Közepes: témavezetői és adminisztratív kapacitás, értékelési keretrendszer</w:t>
            </w:r>
          </w:p>
        </w:tc>
        <w:tc>
          <w:tcPr>
            <w:tcW w:w="1647" w:type="dxa"/>
          </w:tcPr>
          <w:p w14:paraId="61F14176"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3–6</w:t>
            </w:r>
          </w:p>
        </w:tc>
        <w:tc>
          <w:tcPr>
            <w:tcW w:w="1647" w:type="dxa"/>
          </w:tcPr>
          <w:p w14:paraId="7F693BBB"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Egyenetlen hallgatói hozzáférés → többféle portfólióút és online vagy belső projektlehetőség</w:t>
            </w:r>
          </w:p>
        </w:tc>
      </w:tr>
    </w:tbl>
    <w:p w14:paraId="65D9342B" w14:textId="77777777" w:rsidR="00FA0472" w:rsidRPr="002B0721" w:rsidRDefault="00FA0472" w:rsidP="00FA0472">
      <w:pPr>
        <w:pStyle w:val="Heading3"/>
      </w:pPr>
      <w:r w:rsidRPr="002B0721">
        <w:t>F) Kockázatok és kezelések</w:t>
      </w:r>
    </w:p>
    <w:p w14:paraId="58B35047" w14:textId="77777777" w:rsidR="00FA0472" w:rsidRPr="002B0721" w:rsidRDefault="00FA0472" w:rsidP="00FA0472">
      <w:r w:rsidRPr="002B0721">
        <w:rPr>
          <w:i/>
          <w:color w:val="005A9C"/>
        </w:rPr>
        <w:t>&lt;&lt;</w:t>
      </w:r>
      <w:proofErr w:type="spellStart"/>
      <w:r w:rsidRPr="002B0721">
        <w:rPr>
          <w:i/>
          <w:color w:val="005A9C"/>
        </w:rPr>
        <w:t>max</w:t>
      </w:r>
      <w:proofErr w:type="spellEnd"/>
      <w:r w:rsidRPr="002B0721">
        <w:rPr>
          <w:i/>
          <w:color w:val="005A9C"/>
        </w:rPr>
        <w:t>. 5 kockázat&gt;&gt;</w:t>
      </w:r>
    </w:p>
    <w:p w14:paraId="721B9AE4" w14:textId="77777777" w:rsidR="00FA0472" w:rsidRPr="002B0721" w:rsidRDefault="00FA0472" w:rsidP="00FA0472">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FA0472" w:rsidRPr="002B0721" w14:paraId="34FD9EA0"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8121AA2" w14:textId="77777777" w:rsidR="00FA0472" w:rsidRPr="002B0721" w:rsidRDefault="00FA0472" w:rsidP="00D92C6C">
            <w:pPr>
              <w:jc w:val="center"/>
              <w:rPr>
                <w:sz w:val="18"/>
                <w:szCs w:val="18"/>
              </w:rPr>
            </w:pPr>
            <w:r w:rsidRPr="002B0721">
              <w:rPr>
                <w:sz w:val="18"/>
                <w:szCs w:val="18"/>
              </w:rPr>
              <w:t>Állítás / megállapítás</w:t>
            </w:r>
          </w:p>
        </w:tc>
        <w:tc>
          <w:tcPr>
            <w:tcW w:w="2191" w:type="dxa"/>
          </w:tcPr>
          <w:p w14:paraId="599491CA"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típusa</w:t>
            </w:r>
          </w:p>
        </w:tc>
        <w:tc>
          <w:tcPr>
            <w:tcW w:w="2392" w:type="dxa"/>
          </w:tcPr>
          <w:p w14:paraId="33A9E387"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Hivatkozás (ábra/táblázat/melléklet)</w:t>
            </w:r>
          </w:p>
        </w:tc>
        <w:tc>
          <w:tcPr>
            <w:tcW w:w="2171" w:type="dxa"/>
          </w:tcPr>
          <w:p w14:paraId="178A7029" w14:textId="77777777" w:rsidR="00FA0472" w:rsidRPr="002B0721" w:rsidRDefault="00FA0472"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FA0472" w:rsidRPr="002B0721" w14:paraId="6C27D450"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0BB2FC7" w14:textId="77777777" w:rsidR="00FA0472" w:rsidRPr="002B0721" w:rsidRDefault="00FA0472" w:rsidP="00D92C6C">
            <w:pPr>
              <w:rPr>
                <w:sz w:val="18"/>
                <w:szCs w:val="18"/>
              </w:rPr>
            </w:pPr>
            <w:r w:rsidRPr="002B0721">
              <w:rPr>
                <w:sz w:val="18"/>
                <w:szCs w:val="18"/>
              </w:rPr>
              <w:t>&lt;&lt;KITÖLTENDŐ&gt;&gt;</w:t>
            </w:r>
          </w:p>
        </w:tc>
        <w:tc>
          <w:tcPr>
            <w:tcW w:w="2191" w:type="dxa"/>
          </w:tcPr>
          <w:p w14:paraId="28249BFE"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1F8129AE"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3928C55A"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FA0472" w:rsidRPr="002B0721" w14:paraId="6D4E4D04"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4F08F5A6" w14:textId="77777777" w:rsidR="00FA0472" w:rsidRPr="002B0721" w:rsidRDefault="00FA0472" w:rsidP="00D92C6C">
            <w:pPr>
              <w:rPr>
                <w:sz w:val="18"/>
                <w:szCs w:val="18"/>
              </w:rPr>
            </w:pPr>
            <w:r w:rsidRPr="002B0721">
              <w:rPr>
                <w:sz w:val="18"/>
                <w:szCs w:val="18"/>
              </w:rPr>
              <w:t>&lt;&lt;KITÖLTENDŐ&gt;&gt;</w:t>
            </w:r>
          </w:p>
        </w:tc>
        <w:tc>
          <w:tcPr>
            <w:tcW w:w="2191" w:type="dxa"/>
          </w:tcPr>
          <w:p w14:paraId="25C4D36C"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0AEFA237"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62ED280"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FA0472" w:rsidRPr="002B0721" w14:paraId="7EAE3F48"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FED8E75" w14:textId="77777777" w:rsidR="00FA0472" w:rsidRPr="002B0721" w:rsidRDefault="00FA0472" w:rsidP="00D92C6C">
            <w:pPr>
              <w:rPr>
                <w:sz w:val="18"/>
                <w:szCs w:val="18"/>
              </w:rPr>
            </w:pPr>
            <w:r w:rsidRPr="002B0721">
              <w:rPr>
                <w:sz w:val="18"/>
                <w:szCs w:val="18"/>
              </w:rPr>
              <w:t>&lt;&lt;KITÖLTENDŐ&gt;&gt;</w:t>
            </w:r>
          </w:p>
        </w:tc>
        <w:tc>
          <w:tcPr>
            <w:tcW w:w="2191" w:type="dxa"/>
          </w:tcPr>
          <w:p w14:paraId="077F1006"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309670DA"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1674174A"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FA0472" w:rsidRPr="002B0721" w14:paraId="1108F2D9"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7DBE9F58" w14:textId="77777777" w:rsidR="00FA0472" w:rsidRPr="002B0721" w:rsidRDefault="00FA0472" w:rsidP="00D92C6C">
            <w:pPr>
              <w:rPr>
                <w:sz w:val="18"/>
                <w:szCs w:val="18"/>
              </w:rPr>
            </w:pPr>
            <w:r w:rsidRPr="002B0721">
              <w:rPr>
                <w:sz w:val="18"/>
                <w:szCs w:val="18"/>
              </w:rPr>
              <w:t>&lt;&lt;KITÖLTENDŐ&gt;&gt;</w:t>
            </w:r>
          </w:p>
        </w:tc>
        <w:tc>
          <w:tcPr>
            <w:tcW w:w="2191" w:type="dxa"/>
          </w:tcPr>
          <w:p w14:paraId="14F3EC48"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CBC3CA0"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0C6EC85B"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FA0472" w:rsidRPr="002B0721" w14:paraId="6969706E"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1F59339E" w14:textId="77777777" w:rsidR="00FA0472" w:rsidRPr="002B0721" w:rsidRDefault="00FA0472" w:rsidP="00D92C6C">
            <w:pPr>
              <w:rPr>
                <w:sz w:val="18"/>
                <w:szCs w:val="18"/>
              </w:rPr>
            </w:pPr>
            <w:r w:rsidRPr="002B0721">
              <w:rPr>
                <w:sz w:val="18"/>
                <w:szCs w:val="18"/>
              </w:rPr>
              <w:t>&lt;&lt;KITÖLTENDŐ&gt;&gt;</w:t>
            </w:r>
          </w:p>
        </w:tc>
        <w:tc>
          <w:tcPr>
            <w:tcW w:w="2191" w:type="dxa"/>
          </w:tcPr>
          <w:p w14:paraId="3C1E047F"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69F5CA4"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0AB1FDFC"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FA0472" w:rsidRPr="002B0721" w14:paraId="10005F05"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0D0B1B88" w14:textId="77777777" w:rsidR="00FA0472" w:rsidRPr="002B0721" w:rsidRDefault="00FA0472" w:rsidP="00D92C6C">
            <w:pPr>
              <w:rPr>
                <w:sz w:val="18"/>
                <w:szCs w:val="18"/>
              </w:rPr>
            </w:pPr>
            <w:r w:rsidRPr="002B0721">
              <w:rPr>
                <w:sz w:val="18"/>
                <w:szCs w:val="18"/>
              </w:rPr>
              <w:t>&lt;&lt;KITÖLTENDŐ&gt;&gt;</w:t>
            </w:r>
          </w:p>
        </w:tc>
        <w:tc>
          <w:tcPr>
            <w:tcW w:w="2191" w:type="dxa"/>
          </w:tcPr>
          <w:p w14:paraId="7E2BF5A3"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777B681F"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4565B7B"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p>
        </w:tc>
      </w:tr>
    </w:tbl>
    <w:p w14:paraId="7949F46A" w14:textId="77777777" w:rsidR="00FA0472" w:rsidRPr="002B0721" w:rsidRDefault="00FA0472" w:rsidP="00FA0472">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FA0472" w:rsidRPr="002B0721" w14:paraId="273FF099"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5329027" w14:textId="77777777" w:rsidR="00FA0472" w:rsidRPr="002B0721" w:rsidRDefault="00FA0472" w:rsidP="00D92C6C">
            <w:pPr>
              <w:rPr>
                <w:sz w:val="18"/>
                <w:szCs w:val="18"/>
              </w:rPr>
            </w:pPr>
            <w:r w:rsidRPr="002B0721">
              <w:rPr>
                <w:sz w:val="18"/>
                <w:szCs w:val="18"/>
              </w:rPr>
              <w:t>ESG standard(ok)</w:t>
            </w:r>
          </w:p>
        </w:tc>
        <w:tc>
          <w:tcPr>
            <w:tcW w:w="3034" w:type="dxa"/>
          </w:tcPr>
          <w:p w14:paraId="1FD0F592"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Hogyan kapcsolódik a pillérhez?</w:t>
            </w:r>
          </w:p>
        </w:tc>
        <w:tc>
          <w:tcPr>
            <w:tcW w:w="3068" w:type="dxa"/>
          </w:tcPr>
          <w:p w14:paraId="2E69ADDE" w14:textId="77777777" w:rsidR="00FA0472" w:rsidRPr="002B0721" w:rsidRDefault="00FA0472"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(fejezet/ábra/táblázat)</w:t>
            </w:r>
          </w:p>
        </w:tc>
      </w:tr>
      <w:tr w:rsidR="00FA0472" w:rsidRPr="002B0721" w14:paraId="6C7340CC"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AFDD3FB" w14:textId="77777777" w:rsidR="00FA0472" w:rsidRPr="002B0721" w:rsidRDefault="00FA0472" w:rsidP="00D92C6C">
            <w:pPr>
              <w:rPr>
                <w:sz w:val="18"/>
                <w:szCs w:val="18"/>
              </w:rPr>
            </w:pPr>
            <w:r w:rsidRPr="002B0721">
              <w:rPr>
                <w:sz w:val="18"/>
                <w:szCs w:val="18"/>
              </w:rPr>
              <w:t xml:space="preserve">1.2, </w:t>
            </w:r>
          </w:p>
        </w:tc>
        <w:tc>
          <w:tcPr>
            <w:tcW w:w="3034" w:type="dxa"/>
          </w:tcPr>
          <w:p w14:paraId="56BA1914"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3C60E663"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FA0472" w:rsidRPr="002B0721" w14:paraId="5EB62091"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1C89D456" w14:textId="77777777" w:rsidR="00FA0472" w:rsidRPr="002B0721" w:rsidRDefault="00FA0472" w:rsidP="00D92C6C">
            <w:pPr>
              <w:rPr>
                <w:sz w:val="18"/>
                <w:szCs w:val="18"/>
              </w:rPr>
            </w:pPr>
            <w:r w:rsidRPr="002B0721">
              <w:rPr>
                <w:sz w:val="18"/>
                <w:szCs w:val="18"/>
              </w:rPr>
              <w:t>1.3</w:t>
            </w:r>
          </w:p>
        </w:tc>
        <w:tc>
          <w:tcPr>
            <w:tcW w:w="3034" w:type="dxa"/>
          </w:tcPr>
          <w:p w14:paraId="6EA3B564"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1972A87A"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FA0472" w:rsidRPr="002B0721" w14:paraId="1F3789F1"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0C0C4920" w14:textId="77777777" w:rsidR="00FA0472" w:rsidRPr="002B0721" w:rsidRDefault="00FA0472" w:rsidP="00D92C6C">
            <w:pPr>
              <w:rPr>
                <w:sz w:val="18"/>
                <w:szCs w:val="18"/>
              </w:rPr>
            </w:pPr>
            <w:r w:rsidRPr="002B0721">
              <w:rPr>
                <w:sz w:val="18"/>
                <w:szCs w:val="18"/>
              </w:rPr>
              <w:t>1.4</w:t>
            </w:r>
          </w:p>
        </w:tc>
        <w:tc>
          <w:tcPr>
            <w:tcW w:w="3034" w:type="dxa"/>
          </w:tcPr>
          <w:p w14:paraId="4E5DFA0F"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064EFC73"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FA0472" w:rsidRPr="002B0721" w14:paraId="22FBFA17"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30B3A4F0" w14:textId="77777777" w:rsidR="00FA0472" w:rsidRPr="002B0721" w:rsidRDefault="00FA0472" w:rsidP="00D92C6C">
            <w:pPr>
              <w:rPr>
                <w:sz w:val="18"/>
                <w:szCs w:val="18"/>
              </w:rPr>
            </w:pPr>
            <w:r w:rsidRPr="002B0721">
              <w:rPr>
                <w:sz w:val="18"/>
                <w:szCs w:val="18"/>
              </w:rPr>
              <w:t>1.6</w:t>
            </w:r>
          </w:p>
        </w:tc>
        <w:tc>
          <w:tcPr>
            <w:tcW w:w="3034" w:type="dxa"/>
          </w:tcPr>
          <w:p w14:paraId="76CB627A"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738DD39C"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FA0472" w:rsidRPr="002B0721" w14:paraId="42F360E1"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37B605EB" w14:textId="77777777" w:rsidR="00FA0472" w:rsidRPr="002B0721" w:rsidRDefault="00FA0472" w:rsidP="00D92C6C">
            <w:pPr>
              <w:rPr>
                <w:sz w:val="18"/>
                <w:szCs w:val="18"/>
              </w:rPr>
            </w:pPr>
            <w:r w:rsidRPr="002B0721">
              <w:rPr>
                <w:sz w:val="18"/>
                <w:szCs w:val="18"/>
              </w:rPr>
              <w:t>1.7</w:t>
            </w:r>
          </w:p>
        </w:tc>
        <w:tc>
          <w:tcPr>
            <w:tcW w:w="3034" w:type="dxa"/>
          </w:tcPr>
          <w:p w14:paraId="5D0DDFBC"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784D278E" w14:textId="77777777" w:rsidR="00FA0472" w:rsidRPr="002B0721" w:rsidRDefault="00FA0472"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FA0472" w:rsidRPr="002B0721" w14:paraId="3A5B3A6C"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0DD87FF8" w14:textId="77777777" w:rsidR="00FA0472" w:rsidRPr="002B0721" w:rsidRDefault="00FA0472" w:rsidP="00D92C6C">
            <w:pPr>
              <w:rPr>
                <w:sz w:val="18"/>
                <w:szCs w:val="18"/>
              </w:rPr>
            </w:pPr>
            <w:r w:rsidRPr="002B0721">
              <w:rPr>
                <w:sz w:val="18"/>
                <w:szCs w:val="18"/>
              </w:rPr>
              <w:t>1.9</w:t>
            </w:r>
          </w:p>
        </w:tc>
        <w:tc>
          <w:tcPr>
            <w:tcW w:w="3034" w:type="dxa"/>
          </w:tcPr>
          <w:p w14:paraId="45B1F39B"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56DB6915" w14:textId="77777777" w:rsidR="00FA0472" w:rsidRPr="002B0721" w:rsidRDefault="00FA0472"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58DD1B5F" w14:textId="77777777" w:rsidR="00FA0472" w:rsidRPr="002B0721" w:rsidRDefault="00FA0472" w:rsidP="00FA0472"/>
    <w:p w14:paraId="356FF90F" w14:textId="77777777" w:rsidR="00AF136A" w:rsidRPr="002B0721" w:rsidRDefault="00AF136A">
      <w:pPr>
        <w:spacing w:after="160" w:line="259" w:lineRule="auto"/>
        <w:jc w:val="left"/>
      </w:pPr>
      <w:r w:rsidRPr="002B0721">
        <w:br w:type="page"/>
      </w:r>
    </w:p>
    <w:p w14:paraId="23B27D5B" w14:textId="77777777" w:rsidR="00AF136A" w:rsidRPr="002B0721" w:rsidRDefault="00AF136A" w:rsidP="00AF136A">
      <w:pPr>
        <w:pStyle w:val="Heading2"/>
      </w:pPr>
      <w:r w:rsidRPr="002B0721">
        <w:t xml:space="preserve">4. pillér - Jövőállóság: digitalizáció, AI, zöld átmenet, </w:t>
      </w:r>
      <w:proofErr w:type="spellStart"/>
      <w:r w:rsidRPr="002B0721">
        <w:t>reziliencia</w:t>
      </w:r>
      <w:proofErr w:type="spellEnd"/>
    </w:p>
    <w:p w14:paraId="03A94A51" w14:textId="77777777" w:rsidR="00005E43" w:rsidRDefault="00032A4C">
      <w:pPr>
        <w:pStyle w:val="Infobox"/>
      </w:pPr>
      <w:r>
        <w:t xml:space="preserve">INFOBOX: Ez a pillér azt vizsgálja, hogy a program mennyire képes reagálni a gyorsan változó technológiai, gazdasági és társadalmi környezetre. Mutassa be, hogy a digitalizáció, a mesterséges intelligencia, a fenntarthatóság és a </w:t>
      </w:r>
      <w:proofErr w:type="spellStart"/>
      <w:r>
        <w:t>reziliencia</w:t>
      </w:r>
      <w:proofErr w:type="spellEnd"/>
      <w:r>
        <w:t xml:space="preserve"> szempontjai mennyiben vannak jelen a tantervben és a tanulási eredményekben. Érdemes jelezni azt is, hogy van-e a programnak gyorsfrissítési mechanizmusa, például választható modulok, rövid ciklusú fejlesztések vagy rugalmas tartalmi elemek formájában. A fejezet akkor hasznos, ha nem trendfelsorolást ad, hanem konkrét fejlesztési következményeket fogalmaz meg. </w:t>
      </w:r>
    </w:p>
    <w:p w14:paraId="117FDBC9" w14:textId="2ABBDA0F" w:rsidR="00DA0DBC" w:rsidRDefault="00032A4C">
      <w:pPr>
        <w:pStyle w:val="Infobox"/>
      </w:pPr>
      <w:r>
        <w:t>Kapcsolódó ESG: 1.2 A képzési programok kialakítása és jóváhagyása, 1.3 Hallgatóközpontú tanulás, tanítás és értékelés, 1.9 A képzési programok folyamatos figyelemmel kísérése és rendszeres értékelése.</w:t>
      </w:r>
    </w:p>
    <w:p w14:paraId="209C1DDF" w14:textId="77777777" w:rsidR="00AF136A" w:rsidRPr="002B0721" w:rsidRDefault="00AF136A" w:rsidP="00AF136A">
      <w:pPr>
        <w:pStyle w:val="Heading3"/>
      </w:pPr>
      <w:r w:rsidRPr="002B0721">
        <w:t>A) Cél és kulcskérdések</w:t>
      </w:r>
    </w:p>
    <w:p w14:paraId="2032B667"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kérdés&gt;&gt;</w:t>
      </w:r>
    </w:p>
    <w:p w14:paraId="4FCE3387" w14:textId="0B9DE456" w:rsidR="003E01CA" w:rsidRPr="00B064BC" w:rsidRDefault="003E01CA" w:rsidP="003E01CA">
      <w:pPr>
        <w:pStyle w:val="ListParagraph"/>
        <w:numPr>
          <w:ilvl w:val="0"/>
          <w:numId w:val="3"/>
        </w:numPr>
        <w:rPr>
          <w:highlight w:val="yellow"/>
        </w:rPr>
      </w:pPr>
      <w:r w:rsidRPr="00B064BC">
        <w:rPr>
          <w:highlight w:val="yellow"/>
        </w:rPr>
        <w:t xml:space="preserve">Hol jelenik meg a tantervben az MI, digitalizáció (adatelemzés, </w:t>
      </w:r>
      <w:proofErr w:type="spellStart"/>
      <w:r w:rsidRPr="00B064BC">
        <w:rPr>
          <w:highlight w:val="yellow"/>
        </w:rPr>
        <w:t>automatizáció</w:t>
      </w:r>
      <w:proofErr w:type="spellEnd"/>
      <w:r w:rsidRPr="00B064BC">
        <w:rPr>
          <w:highlight w:val="yellow"/>
        </w:rPr>
        <w:t>, programozás, etika)?</w:t>
      </w:r>
    </w:p>
    <w:p w14:paraId="349B9584" w14:textId="77777777" w:rsidR="003E01CA" w:rsidRPr="00B064BC" w:rsidRDefault="003E01CA" w:rsidP="003E01CA">
      <w:pPr>
        <w:pStyle w:val="ListParagraph"/>
        <w:numPr>
          <w:ilvl w:val="0"/>
          <w:numId w:val="3"/>
        </w:numPr>
        <w:rPr>
          <w:highlight w:val="yellow"/>
        </w:rPr>
      </w:pPr>
      <w:r w:rsidRPr="00B064BC">
        <w:rPr>
          <w:highlight w:val="yellow"/>
        </w:rPr>
        <w:t>Hol jelenik meg a fenntarthatóság / zöld átmenet (mérnöki döntések hatása, LCA, rendszerszemlélet)?</w:t>
      </w:r>
    </w:p>
    <w:p w14:paraId="4FC3A9C4" w14:textId="5D554646" w:rsidR="003E01CA" w:rsidRPr="00B064BC" w:rsidRDefault="003E01CA" w:rsidP="003E01CA">
      <w:pPr>
        <w:pStyle w:val="ListParagraph"/>
        <w:numPr>
          <w:ilvl w:val="0"/>
          <w:numId w:val="3"/>
        </w:numPr>
        <w:rPr>
          <w:highlight w:val="yellow"/>
        </w:rPr>
      </w:pPr>
      <w:r w:rsidRPr="00B064BC">
        <w:rPr>
          <w:highlight w:val="yellow"/>
        </w:rPr>
        <w:t xml:space="preserve">Milyen transzverzális készségek épülnek </w:t>
      </w:r>
      <w:r>
        <w:rPr>
          <w:highlight w:val="yellow"/>
        </w:rPr>
        <w:t xml:space="preserve">a képzés során </w:t>
      </w:r>
      <w:r w:rsidRPr="00B064BC">
        <w:rPr>
          <w:highlight w:val="yellow"/>
        </w:rPr>
        <w:t>(kommunikáció, csapatmunka, komplex problémamegoldás, üzleti kompetenciák)?</w:t>
      </w:r>
    </w:p>
    <w:p w14:paraId="2054A29D" w14:textId="77777777" w:rsidR="003E01CA" w:rsidRDefault="003E01CA" w:rsidP="003E01CA">
      <w:pPr>
        <w:pStyle w:val="ListParagraph"/>
        <w:numPr>
          <w:ilvl w:val="0"/>
          <w:numId w:val="3"/>
        </w:numPr>
        <w:rPr>
          <w:highlight w:val="yellow"/>
        </w:rPr>
      </w:pPr>
      <w:r w:rsidRPr="00B064BC">
        <w:rPr>
          <w:highlight w:val="yellow"/>
        </w:rPr>
        <w:t xml:space="preserve">Van-e gyorsfrissítés (választható modulok, rövid ciklusú update, </w:t>
      </w:r>
      <w:proofErr w:type="spellStart"/>
      <w:r w:rsidRPr="00B064BC">
        <w:rPr>
          <w:highlight w:val="yellow"/>
        </w:rPr>
        <w:t>mikrotanúsítvány</w:t>
      </w:r>
      <w:proofErr w:type="spellEnd"/>
      <w:r w:rsidRPr="00B064BC">
        <w:rPr>
          <w:highlight w:val="yellow"/>
        </w:rPr>
        <w:t xml:space="preserve"> jelleg)?</w:t>
      </w:r>
    </w:p>
    <w:p w14:paraId="4E8BB9C1" w14:textId="77777777" w:rsidR="00833908" w:rsidRPr="00833908" w:rsidRDefault="00833908" w:rsidP="00833908">
      <w:pPr>
        <w:pStyle w:val="ListParagraph"/>
        <w:numPr>
          <w:ilvl w:val="0"/>
          <w:numId w:val="3"/>
        </w:numPr>
        <w:rPr>
          <w:iCs/>
          <w:highlight w:val="yellow"/>
        </w:rPr>
      </w:pPr>
      <w:r w:rsidRPr="00096C8E">
        <w:rPr>
          <w:highlight w:val="yellow"/>
        </w:rPr>
        <w:t>A jövőállósági témák programszinten kötelező minimumként vagy inkább választható, szigetszerű tartalomként jelennek meg?</w:t>
      </w:r>
    </w:p>
    <w:p w14:paraId="6161F51B" w14:textId="77777777" w:rsidR="00833908" w:rsidRPr="00096C8E" w:rsidRDefault="00833908" w:rsidP="00833908">
      <w:pPr>
        <w:ind w:left="1416"/>
        <w:rPr>
          <w:i/>
          <w:iCs/>
          <w:color w:val="005A9C"/>
          <w:highlight w:val="yellow"/>
        </w:rPr>
      </w:pPr>
      <w:r w:rsidRPr="00096C8E">
        <w:rPr>
          <w:i/>
          <w:iCs/>
          <w:highlight w:val="yellow"/>
        </w:rPr>
        <w:t xml:space="preserve">Fejlesztési cél: megmutatja, hogy a jövőállóság a program </w:t>
      </w:r>
      <w:proofErr w:type="gramStart"/>
      <w:r w:rsidRPr="00096C8E">
        <w:rPr>
          <w:i/>
          <w:iCs/>
          <w:highlight w:val="yellow"/>
        </w:rPr>
        <w:t>magjához</w:t>
      </w:r>
      <w:proofErr w:type="gramEnd"/>
      <w:r w:rsidRPr="00096C8E">
        <w:rPr>
          <w:i/>
          <w:iCs/>
          <w:highlight w:val="yellow"/>
        </w:rPr>
        <w:t xml:space="preserve"> vagy csak perifériájához tartozik-e. Ez meghatározza, hogy elegendő-e részleges bővítés, vagy programszintű áttervezés szükséges.</w:t>
      </w:r>
    </w:p>
    <w:p w14:paraId="0604FE67" w14:textId="77777777" w:rsidR="00833908" w:rsidRPr="00833908" w:rsidRDefault="00833908" w:rsidP="00833908">
      <w:pPr>
        <w:pStyle w:val="ListParagraph"/>
        <w:numPr>
          <w:ilvl w:val="0"/>
          <w:numId w:val="3"/>
        </w:numPr>
        <w:rPr>
          <w:iCs/>
          <w:highlight w:val="yellow"/>
        </w:rPr>
      </w:pPr>
      <w:r w:rsidRPr="00096C8E">
        <w:rPr>
          <w:highlight w:val="yellow"/>
        </w:rPr>
        <w:t xml:space="preserve">A tanulási eredmények és az értékelések explicit módon is mérik-e az AI-, digitális, fenntarthatósági és </w:t>
      </w:r>
      <w:proofErr w:type="spellStart"/>
      <w:r w:rsidRPr="00096C8E">
        <w:rPr>
          <w:highlight w:val="yellow"/>
        </w:rPr>
        <w:t>reziliencia</w:t>
      </w:r>
      <w:proofErr w:type="spellEnd"/>
      <w:r w:rsidRPr="00096C8E">
        <w:rPr>
          <w:highlight w:val="yellow"/>
        </w:rPr>
        <w:t>-kompetenciákat, vagy ezek csak témalistaként jelennek meg?</w:t>
      </w:r>
    </w:p>
    <w:p w14:paraId="08A076FC" w14:textId="77777777" w:rsidR="00833908" w:rsidRPr="00096C8E" w:rsidRDefault="00833908" w:rsidP="00833908">
      <w:pPr>
        <w:ind w:left="1416"/>
        <w:rPr>
          <w:i/>
          <w:iCs/>
          <w:color w:val="005A9C"/>
          <w:highlight w:val="yellow"/>
        </w:rPr>
      </w:pPr>
      <w:r w:rsidRPr="00096C8E">
        <w:rPr>
          <w:i/>
          <w:iCs/>
          <w:highlight w:val="yellow"/>
        </w:rPr>
        <w:t>Fejlesztési cél: segít elválasztani a deklaratív jelenlétet a tényleges kompetenciafejlesztéstől. Ezzel megalapozza az értékelési és tanulási eredmény felülvizsgálatot.</w:t>
      </w:r>
    </w:p>
    <w:p w14:paraId="0F01528E" w14:textId="77777777" w:rsidR="00833908" w:rsidRPr="00833908" w:rsidRDefault="00833908" w:rsidP="00833908">
      <w:pPr>
        <w:pStyle w:val="ListParagraph"/>
        <w:numPr>
          <w:ilvl w:val="0"/>
          <w:numId w:val="3"/>
        </w:numPr>
        <w:rPr>
          <w:iCs/>
          <w:highlight w:val="yellow"/>
        </w:rPr>
      </w:pPr>
      <w:r w:rsidRPr="00096C8E">
        <w:rPr>
          <w:highlight w:val="yellow"/>
        </w:rPr>
        <w:t>Milyen ciklussal és mechanizmussal tud a program reagálni a gyors technológiai, piaci vagy szabályozási változásokra?</w:t>
      </w:r>
    </w:p>
    <w:p w14:paraId="40C8BD1F" w14:textId="77777777" w:rsidR="00833908" w:rsidRPr="006058C4" w:rsidRDefault="00833908" w:rsidP="00833908">
      <w:pPr>
        <w:ind w:left="1416"/>
        <w:rPr>
          <w:i/>
          <w:iCs/>
          <w:color w:val="005A9C"/>
        </w:rPr>
      </w:pPr>
      <w:r w:rsidRPr="00096C8E">
        <w:rPr>
          <w:i/>
          <w:iCs/>
          <w:highlight w:val="yellow"/>
        </w:rPr>
        <w:t>Fejlesztési cél: a tartalmi korszerűség fenntarthatóságát vizsgálja, nemcsak az aktuális állapotot. Ez különösen fontos a gyorsan változó szakterületeken.</w:t>
      </w:r>
    </w:p>
    <w:p w14:paraId="2340A743" w14:textId="77777777" w:rsidR="00AF136A" w:rsidRPr="002B0721" w:rsidRDefault="00AF136A" w:rsidP="00AF136A">
      <w:pPr>
        <w:pStyle w:val="ListParagraph"/>
        <w:numPr>
          <w:ilvl w:val="0"/>
          <w:numId w:val="3"/>
        </w:numPr>
      </w:pPr>
      <w:r w:rsidRPr="002B0721">
        <w:t>&lt;&lt;KITÖLTENDŐ&gt;&gt;</w:t>
      </w:r>
    </w:p>
    <w:p w14:paraId="025D8165" w14:textId="77777777" w:rsidR="00AF136A" w:rsidRPr="002B0721" w:rsidRDefault="00AF136A" w:rsidP="00AF136A">
      <w:pPr>
        <w:pStyle w:val="Heading3"/>
      </w:pPr>
      <w:r w:rsidRPr="002B0721">
        <w:t>B) KPI-ok / mutatók</w:t>
      </w:r>
    </w:p>
    <w:p w14:paraId="5839C12D" w14:textId="77777777" w:rsidR="00AF136A" w:rsidRPr="002B0721" w:rsidRDefault="00AF136A" w:rsidP="00AF136A">
      <w:r w:rsidRPr="002B0721">
        <w:t>KPI / mutató tábla (trend + benchmark)</w:t>
      </w:r>
    </w:p>
    <w:tbl>
      <w:tblPr>
        <w:tblStyle w:val="GridTable5Dark-Accent1"/>
        <w:tblW w:w="0" w:type="auto"/>
        <w:tblLook w:val="04A0" w:firstRow="1" w:lastRow="0" w:firstColumn="1" w:lastColumn="0" w:noHBand="0" w:noVBand="1"/>
      </w:tblPr>
      <w:tblGrid>
        <w:gridCol w:w="1122"/>
        <w:gridCol w:w="1271"/>
        <w:gridCol w:w="990"/>
        <w:gridCol w:w="724"/>
        <w:gridCol w:w="1013"/>
        <w:gridCol w:w="1284"/>
        <w:gridCol w:w="1284"/>
        <w:gridCol w:w="1374"/>
      </w:tblGrid>
      <w:tr w:rsidR="000057C1" w:rsidRPr="002B0721" w14:paraId="4E667EDB" w14:textId="77777777" w:rsidTr="00847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3AB4D21D" w14:textId="77777777" w:rsidR="00AF136A" w:rsidRPr="002B0721" w:rsidRDefault="00AF136A" w:rsidP="00D92C6C">
            <w:pPr>
              <w:rPr>
                <w:sz w:val="18"/>
                <w:szCs w:val="18"/>
              </w:rPr>
            </w:pPr>
            <w:r w:rsidRPr="002B0721">
              <w:rPr>
                <w:sz w:val="18"/>
                <w:szCs w:val="18"/>
              </w:rPr>
              <w:t>Mutató neve</w:t>
            </w:r>
          </w:p>
        </w:tc>
        <w:tc>
          <w:tcPr>
            <w:tcW w:w="1172" w:type="dxa"/>
          </w:tcPr>
          <w:p w14:paraId="45ED6931" w14:textId="434D7223"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Definíció</w:t>
            </w:r>
          </w:p>
        </w:tc>
        <w:tc>
          <w:tcPr>
            <w:tcW w:w="1172" w:type="dxa"/>
          </w:tcPr>
          <w:p w14:paraId="3FE961A8"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Adatforrás</w:t>
            </w:r>
          </w:p>
        </w:tc>
        <w:tc>
          <w:tcPr>
            <w:tcW w:w="1172" w:type="dxa"/>
          </w:tcPr>
          <w:p w14:paraId="7754303C"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172" w:type="dxa"/>
          </w:tcPr>
          <w:p w14:paraId="73CB7590"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1172" w:type="dxa"/>
          </w:tcPr>
          <w:p w14:paraId="5F6A1A9C"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Bázisérték</w:t>
            </w:r>
          </w:p>
        </w:tc>
        <w:tc>
          <w:tcPr>
            <w:tcW w:w="1172" w:type="dxa"/>
          </w:tcPr>
          <w:p w14:paraId="048BB1E9"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Célérték</w:t>
            </w:r>
          </w:p>
        </w:tc>
        <w:tc>
          <w:tcPr>
            <w:tcW w:w="819" w:type="dxa"/>
          </w:tcPr>
          <w:p w14:paraId="7E34E5F2"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0057C1" w:rsidRPr="006058C4" w14:paraId="757B2A33" w14:textId="77777777" w:rsidTr="00847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077225FA" w14:textId="77777777" w:rsidR="000E3AA9" w:rsidRPr="00032A4C" w:rsidRDefault="00032A4C">
            <w:pPr>
              <w:rPr>
                <w:sz w:val="18"/>
                <w:szCs w:val="18"/>
                <w:highlight w:val="yellow"/>
              </w:rPr>
            </w:pPr>
            <w:r w:rsidRPr="00032A4C">
              <w:rPr>
                <w:sz w:val="18"/>
                <w:szCs w:val="18"/>
                <w:highlight w:val="yellow"/>
              </w:rPr>
              <w:t>MI és digitális készségek</w:t>
            </w:r>
          </w:p>
        </w:tc>
        <w:tc>
          <w:tcPr>
            <w:tcW w:w="1172" w:type="dxa"/>
          </w:tcPr>
          <w:p w14:paraId="4127A231"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Azon tantárgyak száma és aránya, amelyekben MI-, adatelemzési, automatizálási vagy programozási kompetencia explicit módon megjelenik.</w:t>
            </w:r>
          </w:p>
        </w:tc>
        <w:tc>
          <w:tcPr>
            <w:tcW w:w="1172" w:type="dxa"/>
          </w:tcPr>
          <w:p w14:paraId="2885F863"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Tantárgyi adatlapok (TAD)</w:t>
            </w:r>
          </w:p>
        </w:tc>
        <w:tc>
          <w:tcPr>
            <w:tcW w:w="1172" w:type="dxa"/>
          </w:tcPr>
          <w:p w14:paraId="3696A57D"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4C5776BD"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Kötelező / választható; tantárgytípus</w:t>
            </w:r>
          </w:p>
        </w:tc>
        <w:tc>
          <w:tcPr>
            <w:tcW w:w="1172" w:type="dxa"/>
          </w:tcPr>
          <w:p w14:paraId="527311B1"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237A95C2"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30D000E1" w14:textId="77777777" w:rsidR="000E3AA9" w:rsidRPr="00032A4C" w:rsidRDefault="000E3AA9">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0057C1" w:rsidRPr="006058C4" w14:paraId="4142ACD9" w14:textId="77777777" w:rsidTr="00847F4A">
        <w:tc>
          <w:tcPr>
            <w:cnfStyle w:val="001000000000" w:firstRow="0" w:lastRow="0" w:firstColumn="1" w:lastColumn="0" w:oddVBand="0" w:evenVBand="0" w:oddHBand="0" w:evenHBand="0" w:firstRowFirstColumn="0" w:firstRowLastColumn="0" w:lastRowFirstColumn="0" w:lastRowLastColumn="0"/>
            <w:tcW w:w="1211" w:type="dxa"/>
          </w:tcPr>
          <w:p w14:paraId="36BE8391" w14:textId="77777777" w:rsidR="000E3AA9" w:rsidRPr="00032A4C" w:rsidRDefault="00032A4C">
            <w:pPr>
              <w:rPr>
                <w:sz w:val="18"/>
                <w:szCs w:val="18"/>
                <w:highlight w:val="yellow"/>
              </w:rPr>
            </w:pPr>
            <w:r w:rsidRPr="00032A4C">
              <w:rPr>
                <w:sz w:val="18"/>
                <w:szCs w:val="18"/>
                <w:highlight w:val="yellow"/>
              </w:rPr>
              <w:t>Fenntarthatóság</w:t>
            </w:r>
          </w:p>
        </w:tc>
        <w:tc>
          <w:tcPr>
            <w:tcW w:w="1172" w:type="dxa"/>
          </w:tcPr>
          <w:p w14:paraId="45CA249F"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tantárgyak száma és aránya, amelyekben fenntarthatósági, környezeti vagy zöld átmeneti szempont explicit módon megjelenik.</w:t>
            </w:r>
          </w:p>
        </w:tc>
        <w:tc>
          <w:tcPr>
            <w:tcW w:w="1172" w:type="dxa"/>
          </w:tcPr>
          <w:p w14:paraId="76EBC485"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Tantárgyi adatlapok (TAD)</w:t>
            </w:r>
          </w:p>
        </w:tc>
        <w:tc>
          <w:tcPr>
            <w:tcW w:w="1172" w:type="dxa"/>
          </w:tcPr>
          <w:p w14:paraId="4DDF1D93"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037E629A"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Kötelező / választható; tantárgytípus</w:t>
            </w:r>
          </w:p>
        </w:tc>
        <w:tc>
          <w:tcPr>
            <w:tcW w:w="1172" w:type="dxa"/>
          </w:tcPr>
          <w:p w14:paraId="22996B63"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72B98CB4"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5357CA21" w14:textId="77777777" w:rsidR="000E3AA9" w:rsidRPr="00032A4C" w:rsidRDefault="000E3AA9">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0057C1" w:rsidRPr="006058C4" w14:paraId="62E2E730" w14:textId="77777777" w:rsidTr="00847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69F22DD3" w14:textId="77777777" w:rsidR="000E3AA9" w:rsidRPr="00032A4C" w:rsidRDefault="00032A4C">
            <w:pPr>
              <w:rPr>
                <w:sz w:val="18"/>
                <w:szCs w:val="18"/>
                <w:highlight w:val="yellow"/>
              </w:rPr>
            </w:pPr>
            <w:r w:rsidRPr="00032A4C">
              <w:rPr>
                <w:sz w:val="18"/>
                <w:szCs w:val="18"/>
                <w:highlight w:val="yellow"/>
              </w:rPr>
              <w:t>Transzverzális készségek</w:t>
            </w:r>
          </w:p>
        </w:tc>
        <w:tc>
          <w:tcPr>
            <w:tcW w:w="1172" w:type="dxa"/>
          </w:tcPr>
          <w:p w14:paraId="0AD4EFB1"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Azon tantárgyak száma és aránya, amelyekben kommunikáció, csapatmunka, komplex problémamegoldás vagy üzleti szemlélet explicit módon megjelenik.</w:t>
            </w:r>
          </w:p>
        </w:tc>
        <w:tc>
          <w:tcPr>
            <w:tcW w:w="1172" w:type="dxa"/>
          </w:tcPr>
          <w:p w14:paraId="25FC0C5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Tantárgyi adatlapok (TAD)</w:t>
            </w:r>
          </w:p>
        </w:tc>
        <w:tc>
          <w:tcPr>
            <w:tcW w:w="1172" w:type="dxa"/>
          </w:tcPr>
          <w:p w14:paraId="5171C0BD"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13FC04C7"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Kötelező / választható; tantárgytípus</w:t>
            </w:r>
          </w:p>
        </w:tc>
        <w:tc>
          <w:tcPr>
            <w:tcW w:w="1172" w:type="dxa"/>
          </w:tcPr>
          <w:p w14:paraId="46501245"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08D9C1F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24F25BCC" w14:textId="77777777" w:rsidR="000E3AA9" w:rsidRPr="00032A4C" w:rsidRDefault="000E3AA9">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0057C1" w:rsidRPr="006058C4" w14:paraId="4E2E66FB" w14:textId="77777777" w:rsidTr="00847F4A">
        <w:tc>
          <w:tcPr>
            <w:cnfStyle w:val="001000000000" w:firstRow="0" w:lastRow="0" w:firstColumn="1" w:lastColumn="0" w:oddVBand="0" w:evenVBand="0" w:oddHBand="0" w:evenHBand="0" w:firstRowFirstColumn="0" w:firstRowLastColumn="0" w:lastRowFirstColumn="0" w:lastRowLastColumn="0"/>
            <w:tcW w:w="1211" w:type="dxa"/>
          </w:tcPr>
          <w:p w14:paraId="00B876C2" w14:textId="77777777" w:rsidR="000E3AA9" w:rsidRPr="00032A4C" w:rsidRDefault="00032A4C">
            <w:pPr>
              <w:rPr>
                <w:sz w:val="18"/>
                <w:szCs w:val="18"/>
                <w:highlight w:val="yellow"/>
              </w:rPr>
            </w:pPr>
            <w:r w:rsidRPr="00032A4C">
              <w:rPr>
                <w:sz w:val="18"/>
                <w:szCs w:val="18"/>
                <w:highlight w:val="yellow"/>
              </w:rPr>
              <w:t>Tantervi frissítési ciklus</w:t>
            </w:r>
          </w:p>
        </w:tc>
        <w:tc>
          <w:tcPr>
            <w:tcW w:w="1172" w:type="dxa"/>
          </w:tcPr>
          <w:p w14:paraId="3FB09531"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vizsgált időszakban érdemben frissített mintatantervi tantárgyi adatlapok évenkénti aránya.</w:t>
            </w:r>
          </w:p>
        </w:tc>
        <w:tc>
          <w:tcPr>
            <w:tcW w:w="1172" w:type="dxa"/>
          </w:tcPr>
          <w:p w14:paraId="745852CA"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Tantárgyi adatlapok (TAD)</w:t>
            </w:r>
          </w:p>
        </w:tc>
        <w:tc>
          <w:tcPr>
            <w:tcW w:w="1172" w:type="dxa"/>
          </w:tcPr>
          <w:p w14:paraId="7B6CFA74"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2023–2025</w:t>
            </w:r>
          </w:p>
        </w:tc>
        <w:tc>
          <w:tcPr>
            <w:tcW w:w="1172" w:type="dxa"/>
          </w:tcPr>
          <w:p w14:paraId="1ED123B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Tárgytípus; szak</w:t>
            </w:r>
          </w:p>
        </w:tc>
        <w:tc>
          <w:tcPr>
            <w:tcW w:w="1172" w:type="dxa"/>
          </w:tcPr>
          <w:p w14:paraId="5853C26D"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2056AA1D"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37C8DE32"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program reagálóképességének mérésére</w:t>
            </w:r>
          </w:p>
        </w:tc>
      </w:tr>
      <w:tr w:rsidR="000057C1" w:rsidRPr="006058C4" w14:paraId="4138332D" w14:textId="77777777" w:rsidTr="00847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1" w:type="dxa"/>
          </w:tcPr>
          <w:p w14:paraId="3000FED4" w14:textId="77777777" w:rsidR="000E3AA9" w:rsidRPr="00032A4C" w:rsidRDefault="00032A4C">
            <w:pPr>
              <w:rPr>
                <w:sz w:val="18"/>
                <w:szCs w:val="18"/>
                <w:highlight w:val="yellow"/>
              </w:rPr>
            </w:pPr>
            <w:r w:rsidRPr="00032A4C">
              <w:rPr>
                <w:sz w:val="18"/>
                <w:szCs w:val="18"/>
                <w:highlight w:val="yellow"/>
              </w:rPr>
              <w:t>Jövőálló kompetenciákat explicit módon tartalmazó tanulási eredmények aránya</w:t>
            </w:r>
          </w:p>
        </w:tc>
        <w:tc>
          <w:tcPr>
            <w:tcW w:w="1172" w:type="dxa"/>
          </w:tcPr>
          <w:p w14:paraId="313CDC9D"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Azon programszintű és tantárgyi tanulási eredmények aránya, amelyek AI-, digitális, fenntarthatósági vagy reziliencia-kompetenciát kifejezetten nevesítenek.</w:t>
            </w:r>
          </w:p>
        </w:tc>
        <w:tc>
          <w:tcPr>
            <w:tcW w:w="1172" w:type="dxa"/>
          </w:tcPr>
          <w:p w14:paraId="06E84576"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TAD; programleírás</w:t>
            </w:r>
          </w:p>
        </w:tc>
        <w:tc>
          <w:tcPr>
            <w:tcW w:w="1172" w:type="dxa"/>
          </w:tcPr>
          <w:p w14:paraId="17BD6BDA"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58DF5592"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Programszint / tantárgyszint</w:t>
            </w:r>
          </w:p>
        </w:tc>
        <w:tc>
          <w:tcPr>
            <w:tcW w:w="1172" w:type="dxa"/>
          </w:tcPr>
          <w:p w14:paraId="0AE2B7E8"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36B5E80B"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7B93C0A4" w14:textId="77777777" w:rsidR="000E3AA9" w:rsidRPr="00032A4C"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deklaratív és tényleges beágyazottság elkülönítésére</w:t>
            </w:r>
          </w:p>
        </w:tc>
      </w:tr>
      <w:tr w:rsidR="000057C1" w:rsidRPr="006058C4" w14:paraId="38D470F4" w14:textId="77777777" w:rsidTr="00847F4A">
        <w:tc>
          <w:tcPr>
            <w:cnfStyle w:val="001000000000" w:firstRow="0" w:lastRow="0" w:firstColumn="1" w:lastColumn="0" w:oddVBand="0" w:evenVBand="0" w:oddHBand="0" w:evenHBand="0" w:firstRowFirstColumn="0" w:firstRowLastColumn="0" w:lastRowFirstColumn="0" w:lastRowLastColumn="0"/>
            <w:tcW w:w="1211" w:type="dxa"/>
          </w:tcPr>
          <w:p w14:paraId="6E523AD4" w14:textId="77777777" w:rsidR="000E3AA9" w:rsidRPr="00032A4C" w:rsidRDefault="00032A4C">
            <w:pPr>
              <w:rPr>
                <w:sz w:val="18"/>
                <w:szCs w:val="18"/>
                <w:highlight w:val="yellow"/>
              </w:rPr>
            </w:pPr>
            <w:r w:rsidRPr="00032A4C">
              <w:rPr>
                <w:sz w:val="18"/>
                <w:szCs w:val="18"/>
                <w:highlight w:val="yellow"/>
              </w:rPr>
              <w:t>Integrált jövőállósági értékelések aránya</w:t>
            </w:r>
          </w:p>
        </w:tc>
        <w:tc>
          <w:tcPr>
            <w:tcW w:w="1172" w:type="dxa"/>
          </w:tcPr>
          <w:p w14:paraId="63A7BC8B"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tantárgyak aránya, ahol az értékelés AI-, digitalizációs, fenntarthatósági vagy reziliencia-döntési helyzetet tartalmazó feladatot is alkalmaz.</w:t>
            </w:r>
          </w:p>
        </w:tc>
        <w:tc>
          <w:tcPr>
            <w:tcW w:w="1172" w:type="dxa"/>
          </w:tcPr>
          <w:p w14:paraId="34F8FF22"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TAD; tantárgyi tematikák</w:t>
            </w:r>
          </w:p>
        </w:tc>
        <w:tc>
          <w:tcPr>
            <w:tcW w:w="1172" w:type="dxa"/>
          </w:tcPr>
          <w:p w14:paraId="4F607EA3"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2025</w:t>
            </w:r>
          </w:p>
        </w:tc>
        <w:tc>
          <w:tcPr>
            <w:tcW w:w="1172" w:type="dxa"/>
          </w:tcPr>
          <w:p w14:paraId="43E7116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Tantárgytípus; kötelező / választható</w:t>
            </w:r>
          </w:p>
        </w:tc>
        <w:tc>
          <w:tcPr>
            <w:tcW w:w="1172" w:type="dxa"/>
          </w:tcPr>
          <w:p w14:paraId="12935C43"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72" w:type="dxa"/>
          </w:tcPr>
          <w:p w14:paraId="3A472086"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819" w:type="dxa"/>
          </w:tcPr>
          <w:p w14:paraId="55B798A2" w14:textId="77777777" w:rsidR="000E3AA9" w:rsidRPr="00032A4C"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tényleges kompetenciamérés láthatóvá tételére</w:t>
            </w:r>
          </w:p>
        </w:tc>
      </w:tr>
    </w:tbl>
    <w:p w14:paraId="48FE0ABF" w14:textId="77777777" w:rsidR="00AF136A" w:rsidRPr="002B0721" w:rsidRDefault="00AF136A" w:rsidP="00AF136A">
      <w:pPr>
        <w:pStyle w:val="Heading3"/>
      </w:pPr>
      <w:r w:rsidRPr="002B0721">
        <w:t xml:space="preserve">C) Elemzések és ábrák </w:t>
      </w:r>
    </w:p>
    <w:p w14:paraId="54EF0D83"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71E64968"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Szegmentáció (ha releváns)</w:t>
      </w:r>
    </w:p>
    <w:p w14:paraId="2A9B0D6C"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Benchmark (ha elérhető)</w:t>
      </w:r>
    </w:p>
    <w:p w14:paraId="195EBEC7"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62C9AA43"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Kritikus pontok (tantárgyak) / kritikus tanulmányi utal </w:t>
      </w:r>
    </w:p>
    <w:p w14:paraId="6D95C19A" w14:textId="77777777" w:rsidR="00AF136A" w:rsidRPr="002B0721" w:rsidRDefault="00AF136A" w:rsidP="00AF136A">
      <w:pPr>
        <w:pStyle w:val="Heading3"/>
      </w:pPr>
      <w:r w:rsidRPr="002B0721">
        <w:t>D) Fő megállapítások</w:t>
      </w:r>
    </w:p>
    <w:p w14:paraId="2531150D" w14:textId="77777777" w:rsidR="00AF136A" w:rsidRPr="002B0721" w:rsidRDefault="00AF136A" w:rsidP="00AF136A">
      <w:r w:rsidRPr="002B0721">
        <w:rPr>
          <w:i/>
          <w:color w:val="005A9C"/>
        </w:rPr>
        <w:t>&lt;&lt;3-7 pont&gt;&gt;</w:t>
      </w:r>
    </w:p>
    <w:p w14:paraId="69FC853B" w14:textId="7AD569AA" w:rsidR="000057C1" w:rsidRDefault="000057C1" w:rsidP="00AF136A">
      <w:pPr>
        <w:pStyle w:val="ListParagraph"/>
        <w:numPr>
          <w:ilvl w:val="0"/>
          <w:numId w:val="6"/>
        </w:numPr>
        <w:rPr>
          <w:highlight w:val="yellow"/>
        </w:rPr>
      </w:pPr>
      <w:r w:rsidRPr="000057C1">
        <w:rPr>
          <w:highlight w:val="yellow"/>
        </w:rPr>
        <w:t xml:space="preserve">MI/digitális kompetenciák csak </w:t>
      </w:r>
      <w:proofErr w:type="spellStart"/>
      <w:r w:rsidRPr="000057C1">
        <w:rPr>
          <w:highlight w:val="yellow"/>
        </w:rPr>
        <w:t>szigetszerűen</w:t>
      </w:r>
      <w:proofErr w:type="spellEnd"/>
      <w:r w:rsidRPr="000057C1">
        <w:rPr>
          <w:highlight w:val="yellow"/>
        </w:rPr>
        <w:t xml:space="preserve"> jelennek meg</w:t>
      </w:r>
      <w:r>
        <w:rPr>
          <w:highlight w:val="yellow"/>
        </w:rPr>
        <w:t>.</w:t>
      </w:r>
    </w:p>
    <w:p w14:paraId="50A741A8" w14:textId="5209E42A" w:rsidR="000057C1" w:rsidRDefault="000057C1" w:rsidP="00AF136A">
      <w:pPr>
        <w:pStyle w:val="ListParagraph"/>
        <w:numPr>
          <w:ilvl w:val="0"/>
          <w:numId w:val="6"/>
        </w:numPr>
        <w:rPr>
          <w:highlight w:val="yellow"/>
        </w:rPr>
      </w:pPr>
      <w:r w:rsidRPr="000057C1">
        <w:rPr>
          <w:highlight w:val="yellow"/>
        </w:rPr>
        <w:t>Fenntarthatóság csak említés-szintű</w:t>
      </w:r>
      <w:r>
        <w:rPr>
          <w:highlight w:val="yellow"/>
        </w:rPr>
        <w:t>.</w:t>
      </w:r>
    </w:p>
    <w:p w14:paraId="16A52205" w14:textId="77777777" w:rsidR="00833908" w:rsidRPr="00833908" w:rsidRDefault="00833908" w:rsidP="00833908">
      <w:pPr>
        <w:pStyle w:val="ListParagraph"/>
        <w:numPr>
          <w:ilvl w:val="0"/>
          <w:numId w:val="6"/>
        </w:numPr>
        <w:rPr>
          <w:iCs/>
          <w:highlight w:val="yellow"/>
        </w:rPr>
      </w:pPr>
      <w:r w:rsidRPr="00096C8E">
        <w:rPr>
          <w:highlight w:val="yellow"/>
        </w:rPr>
        <w:t>Az MI-, digitális és zöld átmeneti tartalmak többnyire tantárgyi szigetekben jelennek meg, és csak részben épülnek egymásra programszinten.</w:t>
      </w:r>
    </w:p>
    <w:p w14:paraId="5816CF9D" w14:textId="77777777" w:rsidR="00833908" w:rsidRPr="00096C8E" w:rsidRDefault="00833908" w:rsidP="00833908">
      <w:pPr>
        <w:ind w:left="1416"/>
        <w:rPr>
          <w:i/>
          <w:iCs/>
          <w:color w:val="005A9C"/>
          <w:highlight w:val="yellow"/>
        </w:rPr>
      </w:pPr>
      <w:r w:rsidRPr="00096C8E">
        <w:rPr>
          <w:i/>
          <w:iCs/>
          <w:highlight w:val="yellow"/>
        </w:rPr>
        <w:t>Fejlesztési cél és értelme: támogatja az egymásra épülő, fokozatos kompetenciafejlesztési logika kialakítását, nem csupán alkalmi tartalmi bővítést.</w:t>
      </w:r>
    </w:p>
    <w:p w14:paraId="7E27AF68" w14:textId="77777777" w:rsidR="00833908" w:rsidRPr="00833908" w:rsidRDefault="00833908" w:rsidP="00833908">
      <w:pPr>
        <w:pStyle w:val="ListParagraph"/>
        <w:numPr>
          <w:ilvl w:val="0"/>
          <w:numId w:val="6"/>
        </w:numPr>
        <w:rPr>
          <w:iCs/>
          <w:highlight w:val="yellow"/>
        </w:rPr>
      </w:pPr>
      <w:r w:rsidRPr="00096C8E">
        <w:rPr>
          <w:highlight w:val="yellow"/>
        </w:rPr>
        <w:t>Az MI-elemek gyakran eszközhasználatra korlátozódnak, miközben az adatértelmezési, módszertani, etikai és döntéstámogató dimenziók kevésbé hangsúlyosak.</w:t>
      </w:r>
    </w:p>
    <w:p w14:paraId="53812A8E" w14:textId="77777777" w:rsidR="00833908" w:rsidRPr="00096C8E" w:rsidRDefault="00833908" w:rsidP="00833908">
      <w:pPr>
        <w:ind w:left="1416"/>
        <w:rPr>
          <w:i/>
          <w:iCs/>
          <w:color w:val="005A9C"/>
          <w:highlight w:val="yellow"/>
        </w:rPr>
      </w:pPr>
      <w:r w:rsidRPr="00096C8E">
        <w:rPr>
          <w:i/>
          <w:iCs/>
          <w:highlight w:val="yellow"/>
        </w:rPr>
        <w:t>Fejlesztési cél és értelme: segít elkerülni a felszínes modernizációt, és a valóban átvihető, jövőálló digitális kompetenciák felé tereli a programot.</w:t>
      </w:r>
    </w:p>
    <w:p w14:paraId="1D4A7A81" w14:textId="77777777" w:rsidR="00833908" w:rsidRPr="00833908" w:rsidRDefault="00833908" w:rsidP="00833908">
      <w:pPr>
        <w:pStyle w:val="ListParagraph"/>
        <w:numPr>
          <w:ilvl w:val="0"/>
          <w:numId w:val="6"/>
        </w:numPr>
        <w:rPr>
          <w:iCs/>
          <w:highlight w:val="yellow"/>
        </w:rPr>
      </w:pPr>
      <w:r w:rsidRPr="00096C8E">
        <w:rPr>
          <w:highlight w:val="yellow"/>
        </w:rPr>
        <w:t xml:space="preserve">A fenntarthatóság jellemzően deklaratív módon jelenik meg, de kevésbé kapcsolódik mérnöki döntésekhez, trade-offokhoz és </w:t>
      </w:r>
      <w:proofErr w:type="spellStart"/>
      <w:r w:rsidRPr="00096C8E">
        <w:rPr>
          <w:highlight w:val="yellow"/>
        </w:rPr>
        <w:t>reziliencia</w:t>
      </w:r>
      <w:proofErr w:type="spellEnd"/>
      <w:r w:rsidRPr="00096C8E">
        <w:rPr>
          <w:highlight w:val="yellow"/>
        </w:rPr>
        <w:t>-szempontokhoz.</w:t>
      </w:r>
    </w:p>
    <w:p w14:paraId="4D4A7670" w14:textId="77777777" w:rsidR="00833908" w:rsidRPr="006058C4" w:rsidRDefault="00833908" w:rsidP="00833908">
      <w:pPr>
        <w:ind w:left="1416"/>
        <w:rPr>
          <w:i/>
          <w:iCs/>
          <w:color w:val="005A9C"/>
        </w:rPr>
      </w:pPr>
      <w:r w:rsidRPr="00096C8E">
        <w:rPr>
          <w:i/>
          <w:iCs/>
          <w:highlight w:val="yellow"/>
        </w:rPr>
        <w:t>Fejlesztési cél és értelme: a fenntarthatósági tematika tartalmi mélyítését és a szakmai döntési helyzetekbe való beágyazását támogatja.</w:t>
      </w:r>
    </w:p>
    <w:p w14:paraId="3AF214B6" w14:textId="77777777" w:rsidR="00AF136A" w:rsidRPr="002B0721" w:rsidRDefault="00AF136A" w:rsidP="00AF136A">
      <w:pPr>
        <w:pStyle w:val="ListParagraph"/>
        <w:numPr>
          <w:ilvl w:val="0"/>
          <w:numId w:val="6"/>
        </w:numPr>
      </w:pPr>
      <w:r w:rsidRPr="002B0721">
        <w:t>&lt;&lt;KITÖLTENDŐ&gt;&gt;</w:t>
      </w:r>
    </w:p>
    <w:p w14:paraId="7411654D" w14:textId="77777777" w:rsidR="00AF136A" w:rsidRPr="002B0721" w:rsidRDefault="00AF136A" w:rsidP="00AF136A">
      <w:pPr>
        <w:pStyle w:val="Heading3"/>
      </w:pPr>
      <w:r w:rsidRPr="002B0721">
        <w:t>E) Döntési opciók</w:t>
      </w:r>
    </w:p>
    <w:p w14:paraId="5A683D59" w14:textId="77777777" w:rsidR="00AF136A" w:rsidRPr="002B0721" w:rsidRDefault="00AF136A" w:rsidP="00AF136A">
      <w:r w:rsidRPr="002B0721">
        <w:t>Döntési opciók (min. 2-3 alternatíva)</w:t>
      </w:r>
    </w:p>
    <w:tbl>
      <w:tblPr>
        <w:tblStyle w:val="GridTable5Dark-Accent1"/>
        <w:tblW w:w="0" w:type="auto"/>
        <w:tblLook w:val="04A0" w:firstRow="1" w:lastRow="0" w:firstColumn="1" w:lastColumn="0" w:noHBand="0" w:noVBand="1"/>
      </w:tblPr>
      <w:tblGrid>
        <w:gridCol w:w="1042"/>
        <w:gridCol w:w="2094"/>
        <w:gridCol w:w="1572"/>
        <w:gridCol w:w="1662"/>
        <w:gridCol w:w="1150"/>
        <w:gridCol w:w="1542"/>
      </w:tblGrid>
      <w:tr w:rsidR="00AF136A" w:rsidRPr="002B0721" w14:paraId="4848309B" w14:textId="77777777" w:rsidTr="008B0E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4" w:type="dxa"/>
          </w:tcPr>
          <w:p w14:paraId="6C065B44" w14:textId="77777777" w:rsidR="00AF136A" w:rsidRPr="002B0721" w:rsidRDefault="00AF136A" w:rsidP="00D92C6C">
            <w:pPr>
              <w:rPr>
                <w:sz w:val="18"/>
                <w:szCs w:val="18"/>
              </w:rPr>
            </w:pPr>
            <w:r w:rsidRPr="002B0721">
              <w:rPr>
                <w:sz w:val="18"/>
                <w:szCs w:val="18"/>
              </w:rPr>
              <w:t>Opció</w:t>
            </w:r>
          </w:p>
        </w:tc>
        <w:tc>
          <w:tcPr>
            <w:tcW w:w="1624" w:type="dxa"/>
          </w:tcPr>
          <w:p w14:paraId="4AE83B09"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Leírás</w:t>
            </w:r>
          </w:p>
        </w:tc>
        <w:tc>
          <w:tcPr>
            <w:tcW w:w="1624" w:type="dxa"/>
          </w:tcPr>
          <w:p w14:paraId="4A2DA182"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 (KPI)</w:t>
            </w:r>
          </w:p>
        </w:tc>
        <w:tc>
          <w:tcPr>
            <w:tcW w:w="1624" w:type="dxa"/>
          </w:tcPr>
          <w:p w14:paraId="5399DEE1"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Erőforrásigény / költség</w:t>
            </w:r>
          </w:p>
        </w:tc>
        <w:tc>
          <w:tcPr>
            <w:tcW w:w="1624" w:type="dxa"/>
          </w:tcPr>
          <w:p w14:paraId="510831BB"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 (hónap)</w:t>
            </w:r>
          </w:p>
        </w:tc>
        <w:tc>
          <w:tcPr>
            <w:tcW w:w="1624" w:type="dxa"/>
          </w:tcPr>
          <w:p w14:paraId="4268C486"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Fő kockázat + </w:t>
            </w:r>
            <w:proofErr w:type="spellStart"/>
            <w:r w:rsidRPr="002B0721">
              <w:rPr>
                <w:sz w:val="18"/>
                <w:szCs w:val="18"/>
              </w:rPr>
              <w:t>mitigáció</w:t>
            </w:r>
            <w:proofErr w:type="spellEnd"/>
          </w:p>
        </w:tc>
      </w:tr>
      <w:tr w:rsidR="00AF136A" w:rsidRPr="006058C4" w14:paraId="39850ADC"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253C36AB" w14:textId="77777777" w:rsidR="000E3AA9" w:rsidRPr="006058C4" w:rsidRDefault="00032A4C">
            <w:pPr>
              <w:rPr>
                <w:sz w:val="18"/>
                <w:szCs w:val="18"/>
              </w:rPr>
            </w:pPr>
            <w:r w:rsidRPr="006058C4">
              <w:rPr>
                <w:sz w:val="18"/>
                <w:szCs w:val="18"/>
              </w:rPr>
              <w:t>Opció 1</w:t>
            </w:r>
          </w:p>
        </w:tc>
        <w:tc>
          <w:tcPr>
            <w:tcW w:w="1624" w:type="dxa"/>
          </w:tcPr>
          <w:p w14:paraId="120A0801"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MI-, digitális és fenntarthatósági tanulási eredmények beemelése 5–7 kulcstantárgyba pilot jelleggel, a meglévő tantárgyi keretek és értékelések módosításával.</w:t>
            </w:r>
          </w:p>
        </w:tc>
        <w:tc>
          <w:tcPr>
            <w:tcW w:w="1624" w:type="dxa"/>
          </w:tcPr>
          <w:p w14:paraId="25E1C596"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MI és digitális készségek; fenntarthatóság; jövőálló kompetenciákat explicit módon tartalmazó tanulási eredmények aránya</w:t>
            </w:r>
          </w:p>
        </w:tc>
        <w:tc>
          <w:tcPr>
            <w:tcW w:w="1624" w:type="dxa"/>
          </w:tcPr>
          <w:p w14:paraId="6165E04F"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Közepes: tantárgyfelelősi fejlesztés, rövid oktatói felkészítés</w:t>
            </w:r>
          </w:p>
        </w:tc>
        <w:tc>
          <w:tcPr>
            <w:tcW w:w="1624" w:type="dxa"/>
          </w:tcPr>
          <w:p w14:paraId="1C5B2838"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3–4</w:t>
            </w:r>
          </w:p>
        </w:tc>
        <w:tc>
          <w:tcPr>
            <w:tcW w:w="1624" w:type="dxa"/>
          </w:tcPr>
          <w:p w14:paraId="7022A6EF"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Tartalmi túlterhelés → meglévő tananyag újrasúlyozása, nem puszta hozzáadás</w:t>
            </w:r>
          </w:p>
        </w:tc>
      </w:tr>
      <w:tr w:rsidR="00AF136A" w:rsidRPr="006058C4" w14:paraId="1E5FA6DB" w14:textId="77777777" w:rsidTr="00D92C6C">
        <w:tc>
          <w:tcPr>
            <w:cnfStyle w:val="001000000000" w:firstRow="0" w:lastRow="0" w:firstColumn="1" w:lastColumn="0" w:oddVBand="0" w:evenVBand="0" w:oddHBand="0" w:evenHBand="0" w:firstRowFirstColumn="0" w:firstRowLastColumn="0" w:lastRowFirstColumn="0" w:lastRowLastColumn="0"/>
            <w:tcW w:w="1624" w:type="dxa"/>
          </w:tcPr>
          <w:p w14:paraId="7C6B20AC" w14:textId="77777777" w:rsidR="000E3AA9" w:rsidRPr="006058C4" w:rsidRDefault="00032A4C">
            <w:pPr>
              <w:rPr>
                <w:sz w:val="18"/>
                <w:szCs w:val="18"/>
              </w:rPr>
            </w:pPr>
            <w:r w:rsidRPr="006058C4">
              <w:rPr>
                <w:sz w:val="18"/>
                <w:szCs w:val="18"/>
              </w:rPr>
              <w:t>Opció 2</w:t>
            </w:r>
          </w:p>
        </w:tc>
        <w:tc>
          <w:tcPr>
            <w:tcW w:w="1624" w:type="dxa"/>
          </w:tcPr>
          <w:p w14:paraId="34D15E72" w14:textId="2C1C3770"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 xml:space="preserve">Programszintű jövőállósági minimumcsomag meghatározása: minden hallgatói úton kötelezően megjelenő </w:t>
            </w:r>
            <w:r w:rsidR="006058C4" w:rsidRPr="00096C8E">
              <w:rPr>
                <w:sz w:val="18"/>
                <w:szCs w:val="18"/>
                <w:highlight w:val="yellow"/>
              </w:rPr>
              <w:t>M</w:t>
            </w:r>
            <w:r w:rsidRPr="00096C8E">
              <w:rPr>
                <w:sz w:val="18"/>
                <w:szCs w:val="18"/>
                <w:highlight w:val="yellow"/>
              </w:rPr>
              <w:t>I-, digitalizációs, zöld és reziliencia-kompetenciaelemekkel.</w:t>
            </w:r>
          </w:p>
        </w:tc>
        <w:tc>
          <w:tcPr>
            <w:tcW w:w="1624" w:type="dxa"/>
          </w:tcPr>
          <w:p w14:paraId="5F210DE9"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Jövőálló kompetenciákat explicit módon tartalmazó tanulási eredmények arányának javulása; programszintű koherencia erősödése</w:t>
            </w:r>
          </w:p>
        </w:tc>
        <w:tc>
          <w:tcPr>
            <w:tcW w:w="1624" w:type="dxa"/>
          </w:tcPr>
          <w:p w14:paraId="121F7CF6" w14:textId="57CA9736"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 xml:space="preserve">Közepes: programszintű tervezési munka, </w:t>
            </w:r>
            <w:r w:rsidR="006058C4" w:rsidRPr="00096C8E">
              <w:rPr>
                <w:sz w:val="18"/>
                <w:szCs w:val="18"/>
                <w:highlight w:val="yellow"/>
              </w:rPr>
              <w:t xml:space="preserve">tanulási eredmény </w:t>
            </w:r>
            <w:r w:rsidRPr="00096C8E">
              <w:rPr>
                <w:sz w:val="18"/>
                <w:szCs w:val="18"/>
                <w:highlight w:val="yellow"/>
              </w:rPr>
              <w:t>felülvizsgálat</w:t>
            </w:r>
          </w:p>
        </w:tc>
        <w:tc>
          <w:tcPr>
            <w:tcW w:w="1624" w:type="dxa"/>
          </w:tcPr>
          <w:p w14:paraId="5D09B09F"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4–6</w:t>
            </w:r>
          </w:p>
        </w:tc>
        <w:tc>
          <w:tcPr>
            <w:tcW w:w="1624" w:type="dxa"/>
          </w:tcPr>
          <w:p w14:paraId="57C9B9FF"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Túl általános megfogalmazás → konkrét, mérhető minimumok rögzítése</w:t>
            </w:r>
          </w:p>
        </w:tc>
      </w:tr>
      <w:tr w:rsidR="00AF136A" w:rsidRPr="006058C4" w14:paraId="203E3C01"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70F15D9A" w14:textId="77777777" w:rsidR="000E3AA9" w:rsidRPr="006058C4" w:rsidRDefault="00032A4C">
            <w:pPr>
              <w:rPr>
                <w:sz w:val="18"/>
                <w:szCs w:val="18"/>
              </w:rPr>
            </w:pPr>
            <w:r w:rsidRPr="006058C4">
              <w:rPr>
                <w:sz w:val="18"/>
                <w:szCs w:val="18"/>
              </w:rPr>
              <w:t>Opció 3</w:t>
            </w:r>
          </w:p>
        </w:tc>
        <w:tc>
          <w:tcPr>
            <w:tcW w:w="1624" w:type="dxa"/>
          </w:tcPr>
          <w:p w14:paraId="76A0C159"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Gyorsfrissítési mechanizmus bevezetése: éves benchmark- és munkaadói jelzésekre épülő rövid ciklusú tantárgyi frissítés, dokumentált döntési pontokkal.</w:t>
            </w:r>
          </w:p>
        </w:tc>
        <w:tc>
          <w:tcPr>
            <w:tcW w:w="1624" w:type="dxa"/>
          </w:tcPr>
          <w:p w14:paraId="10265C76"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Tantervi frissítési ciklus javulása; integrált jövőállósági értékelések arányának növekedése</w:t>
            </w:r>
          </w:p>
        </w:tc>
        <w:tc>
          <w:tcPr>
            <w:tcW w:w="1624" w:type="dxa"/>
          </w:tcPr>
          <w:p w14:paraId="2AB5C85A"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Alacsony-közepes: rendszeres szakfelelősi és oktatói áttekintés</w:t>
            </w:r>
          </w:p>
        </w:tc>
        <w:tc>
          <w:tcPr>
            <w:tcW w:w="1624" w:type="dxa"/>
          </w:tcPr>
          <w:p w14:paraId="1AD3E1FD"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2–3</w:t>
            </w:r>
          </w:p>
        </w:tc>
        <w:tc>
          <w:tcPr>
            <w:tcW w:w="1624" w:type="dxa"/>
          </w:tcPr>
          <w:p w14:paraId="4D9170B7" w14:textId="77777777" w:rsidR="000E3AA9" w:rsidRPr="00096C8E" w:rsidRDefault="00032A4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96C8E">
              <w:rPr>
                <w:sz w:val="18"/>
                <w:szCs w:val="18"/>
                <w:highlight w:val="yellow"/>
              </w:rPr>
              <w:t>Ad hoc működés veszélye → előre rögzített éves ütemezés és felelősségek</w:t>
            </w:r>
          </w:p>
        </w:tc>
      </w:tr>
      <w:tr w:rsidR="000E3AA9" w:rsidRPr="006058C4" w14:paraId="7E806F9C" w14:textId="77777777" w:rsidTr="000E3AA9">
        <w:tc>
          <w:tcPr>
            <w:cnfStyle w:val="001000000000" w:firstRow="0" w:lastRow="0" w:firstColumn="1" w:lastColumn="0" w:oddVBand="0" w:evenVBand="0" w:oddHBand="0" w:evenHBand="0" w:firstRowFirstColumn="0" w:firstRowLastColumn="0" w:lastRowFirstColumn="0" w:lastRowLastColumn="0"/>
            <w:tcW w:w="686" w:type="dxa"/>
          </w:tcPr>
          <w:p w14:paraId="5F9DF319" w14:textId="77777777" w:rsidR="000E3AA9" w:rsidRPr="006058C4" w:rsidRDefault="00032A4C">
            <w:pPr>
              <w:rPr>
                <w:sz w:val="18"/>
                <w:szCs w:val="18"/>
              </w:rPr>
            </w:pPr>
            <w:r w:rsidRPr="006058C4">
              <w:rPr>
                <w:sz w:val="18"/>
                <w:szCs w:val="18"/>
              </w:rPr>
              <w:t>Opció 4</w:t>
            </w:r>
          </w:p>
        </w:tc>
        <w:tc>
          <w:tcPr>
            <w:tcW w:w="1676" w:type="dxa"/>
          </w:tcPr>
          <w:p w14:paraId="4983DF06" w14:textId="1217C531"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 xml:space="preserve">Választható mikromodulok vagy mikrotanúsítvány-jellegű blokkok kialakítása gyorsan változó témákra (pl. </w:t>
            </w:r>
            <w:r w:rsidR="006058C4" w:rsidRPr="00096C8E">
              <w:rPr>
                <w:sz w:val="18"/>
                <w:szCs w:val="18"/>
                <w:highlight w:val="yellow"/>
              </w:rPr>
              <w:t>M</w:t>
            </w:r>
            <w:r w:rsidRPr="00096C8E">
              <w:rPr>
                <w:sz w:val="18"/>
                <w:szCs w:val="18"/>
                <w:highlight w:val="yellow"/>
              </w:rPr>
              <w:t>I-eszközök, adatvizualizáció, LCA</w:t>
            </w:r>
            <w:r w:rsidR="006058C4" w:rsidRPr="00096C8E">
              <w:rPr>
                <w:sz w:val="18"/>
                <w:szCs w:val="18"/>
                <w:highlight w:val="yellow"/>
              </w:rPr>
              <w:t xml:space="preserve"> [életciklus elemzés]</w:t>
            </w:r>
            <w:r w:rsidRPr="00096C8E">
              <w:rPr>
                <w:sz w:val="18"/>
                <w:szCs w:val="18"/>
                <w:highlight w:val="yellow"/>
              </w:rPr>
              <w:t xml:space="preserve">, </w:t>
            </w:r>
            <w:proofErr w:type="spellStart"/>
            <w:r w:rsidRPr="00096C8E">
              <w:rPr>
                <w:sz w:val="18"/>
                <w:szCs w:val="18"/>
                <w:highlight w:val="yellow"/>
              </w:rPr>
              <w:t>reziliencia</w:t>
            </w:r>
            <w:proofErr w:type="spellEnd"/>
            <w:r w:rsidRPr="00096C8E">
              <w:rPr>
                <w:sz w:val="18"/>
                <w:szCs w:val="18"/>
                <w:highlight w:val="yellow"/>
              </w:rPr>
              <w:t>-elemzés).</w:t>
            </w:r>
          </w:p>
        </w:tc>
        <w:tc>
          <w:tcPr>
            <w:tcW w:w="1675" w:type="dxa"/>
          </w:tcPr>
          <w:p w14:paraId="630FB3F5"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MI és digitális készségek; fenntarthatóság; transzverzális készségek mutatóinak javulása</w:t>
            </w:r>
          </w:p>
        </w:tc>
        <w:tc>
          <w:tcPr>
            <w:tcW w:w="1675" w:type="dxa"/>
          </w:tcPr>
          <w:p w14:paraId="6C77A27B"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Közepes-magas: tartalomfejlesztés, szervezési és szabályozási egyeztetés</w:t>
            </w:r>
          </w:p>
        </w:tc>
        <w:tc>
          <w:tcPr>
            <w:tcW w:w="1675" w:type="dxa"/>
          </w:tcPr>
          <w:p w14:paraId="44A138C7"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6–9</w:t>
            </w:r>
          </w:p>
        </w:tc>
        <w:tc>
          <w:tcPr>
            <w:tcW w:w="1675" w:type="dxa"/>
          </w:tcPr>
          <w:p w14:paraId="780BF9F0" w14:textId="77777777" w:rsidR="000E3AA9" w:rsidRPr="00096C8E" w:rsidRDefault="00032A4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96C8E">
              <w:rPr>
                <w:sz w:val="18"/>
                <w:szCs w:val="18"/>
                <w:highlight w:val="yellow"/>
              </w:rPr>
              <w:t>Alacsony hallgatói felvétel → kreditelismerés vagy portfólió-előny biztosítása</w:t>
            </w:r>
          </w:p>
        </w:tc>
      </w:tr>
    </w:tbl>
    <w:p w14:paraId="0E90B73A" w14:textId="77777777" w:rsidR="00AF136A" w:rsidRPr="006058C4" w:rsidRDefault="00AF136A" w:rsidP="00AF136A">
      <w:pPr>
        <w:pStyle w:val="Heading3"/>
        <w:rPr>
          <w:sz w:val="18"/>
          <w:szCs w:val="18"/>
        </w:rPr>
      </w:pPr>
      <w:r w:rsidRPr="006058C4">
        <w:rPr>
          <w:sz w:val="18"/>
          <w:szCs w:val="18"/>
        </w:rPr>
        <w:t>F) Kockázatok és kezelések</w:t>
      </w:r>
    </w:p>
    <w:p w14:paraId="60D1F3C6"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kockázat&gt;&gt;</w:t>
      </w:r>
    </w:p>
    <w:p w14:paraId="7181EC9C" w14:textId="77777777" w:rsidR="00AF136A" w:rsidRPr="002B0721" w:rsidRDefault="00AF136A" w:rsidP="00AF136A">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AF136A" w:rsidRPr="002B0721" w14:paraId="2CE456A4"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05F1C47" w14:textId="77777777" w:rsidR="00AF136A" w:rsidRPr="002B0721" w:rsidRDefault="00AF136A" w:rsidP="00D92C6C">
            <w:pPr>
              <w:jc w:val="center"/>
              <w:rPr>
                <w:sz w:val="18"/>
                <w:szCs w:val="18"/>
              </w:rPr>
            </w:pPr>
            <w:r w:rsidRPr="002B0721">
              <w:rPr>
                <w:sz w:val="18"/>
                <w:szCs w:val="18"/>
              </w:rPr>
              <w:t>Állítás / megállapítás</w:t>
            </w:r>
          </w:p>
        </w:tc>
        <w:tc>
          <w:tcPr>
            <w:tcW w:w="2191" w:type="dxa"/>
          </w:tcPr>
          <w:p w14:paraId="7BCC9027"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típusa</w:t>
            </w:r>
          </w:p>
        </w:tc>
        <w:tc>
          <w:tcPr>
            <w:tcW w:w="2392" w:type="dxa"/>
          </w:tcPr>
          <w:p w14:paraId="71C3297E"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Hivatkozás (ábra/táblázat/melléklet)</w:t>
            </w:r>
          </w:p>
        </w:tc>
        <w:tc>
          <w:tcPr>
            <w:tcW w:w="2171" w:type="dxa"/>
          </w:tcPr>
          <w:p w14:paraId="671BB464"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F136A" w:rsidRPr="002B0721" w14:paraId="7362BEB9"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4EDCA426" w14:textId="77777777" w:rsidR="00AF136A" w:rsidRPr="002B0721" w:rsidRDefault="00AF136A" w:rsidP="00D92C6C">
            <w:pPr>
              <w:rPr>
                <w:sz w:val="18"/>
                <w:szCs w:val="18"/>
              </w:rPr>
            </w:pPr>
            <w:r w:rsidRPr="002B0721">
              <w:rPr>
                <w:sz w:val="18"/>
                <w:szCs w:val="18"/>
              </w:rPr>
              <w:t>&lt;&lt;KITÖLTENDŐ&gt;&gt;</w:t>
            </w:r>
          </w:p>
        </w:tc>
        <w:tc>
          <w:tcPr>
            <w:tcW w:w="2191" w:type="dxa"/>
          </w:tcPr>
          <w:p w14:paraId="0192261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5ECC037D"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3AEC90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2BECB2E6"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2E3BAD5A" w14:textId="77777777" w:rsidR="00AF136A" w:rsidRPr="002B0721" w:rsidRDefault="00AF136A" w:rsidP="00D92C6C">
            <w:pPr>
              <w:rPr>
                <w:sz w:val="18"/>
                <w:szCs w:val="18"/>
              </w:rPr>
            </w:pPr>
            <w:r w:rsidRPr="002B0721">
              <w:rPr>
                <w:sz w:val="18"/>
                <w:szCs w:val="18"/>
              </w:rPr>
              <w:t>&lt;&lt;KITÖLTENDŐ&gt;&gt;</w:t>
            </w:r>
          </w:p>
        </w:tc>
        <w:tc>
          <w:tcPr>
            <w:tcW w:w="2191" w:type="dxa"/>
          </w:tcPr>
          <w:p w14:paraId="42763022"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B216B6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C22539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53026FF7"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3297F780" w14:textId="77777777" w:rsidR="00AF136A" w:rsidRPr="002B0721" w:rsidRDefault="00AF136A" w:rsidP="00D92C6C">
            <w:pPr>
              <w:rPr>
                <w:sz w:val="18"/>
                <w:szCs w:val="18"/>
              </w:rPr>
            </w:pPr>
            <w:r w:rsidRPr="002B0721">
              <w:rPr>
                <w:sz w:val="18"/>
                <w:szCs w:val="18"/>
              </w:rPr>
              <w:t>&lt;&lt;KITÖLTENDŐ&gt;&gt;</w:t>
            </w:r>
          </w:p>
        </w:tc>
        <w:tc>
          <w:tcPr>
            <w:tcW w:w="2191" w:type="dxa"/>
          </w:tcPr>
          <w:p w14:paraId="0AFEAA1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6CFFDD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44AC20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2D098446"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1F8E4660" w14:textId="77777777" w:rsidR="00AF136A" w:rsidRPr="002B0721" w:rsidRDefault="00AF136A" w:rsidP="00D92C6C">
            <w:pPr>
              <w:rPr>
                <w:sz w:val="18"/>
                <w:szCs w:val="18"/>
              </w:rPr>
            </w:pPr>
            <w:r w:rsidRPr="002B0721">
              <w:rPr>
                <w:sz w:val="18"/>
                <w:szCs w:val="18"/>
              </w:rPr>
              <w:t>&lt;&lt;KITÖLTENDŐ&gt;&gt;</w:t>
            </w:r>
          </w:p>
        </w:tc>
        <w:tc>
          <w:tcPr>
            <w:tcW w:w="2191" w:type="dxa"/>
          </w:tcPr>
          <w:p w14:paraId="302E9D14"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074CD7B2"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9FB697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4C022A4F"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12431F1" w14:textId="77777777" w:rsidR="00AF136A" w:rsidRPr="002B0721" w:rsidRDefault="00AF136A" w:rsidP="00D92C6C">
            <w:pPr>
              <w:rPr>
                <w:sz w:val="18"/>
                <w:szCs w:val="18"/>
              </w:rPr>
            </w:pPr>
            <w:r w:rsidRPr="002B0721">
              <w:rPr>
                <w:sz w:val="18"/>
                <w:szCs w:val="18"/>
              </w:rPr>
              <w:t>&lt;&lt;KITÖLTENDŐ&gt;&gt;</w:t>
            </w:r>
          </w:p>
        </w:tc>
        <w:tc>
          <w:tcPr>
            <w:tcW w:w="2191" w:type="dxa"/>
          </w:tcPr>
          <w:p w14:paraId="449CD373"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F68C801"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01CDB76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528F42ED"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0A1DF983" w14:textId="77777777" w:rsidR="00AF136A" w:rsidRPr="002B0721" w:rsidRDefault="00AF136A" w:rsidP="00D92C6C">
            <w:pPr>
              <w:rPr>
                <w:sz w:val="18"/>
                <w:szCs w:val="18"/>
              </w:rPr>
            </w:pPr>
            <w:r w:rsidRPr="002B0721">
              <w:rPr>
                <w:sz w:val="18"/>
                <w:szCs w:val="18"/>
              </w:rPr>
              <w:t>&lt;&lt;KITÖLTENDŐ&gt;&gt;</w:t>
            </w:r>
          </w:p>
        </w:tc>
        <w:tc>
          <w:tcPr>
            <w:tcW w:w="2191" w:type="dxa"/>
          </w:tcPr>
          <w:p w14:paraId="3AF9D4C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1D64CD5B"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3F26E79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bl>
    <w:p w14:paraId="5D076B57" w14:textId="77777777" w:rsidR="00AF136A" w:rsidRPr="002B0721" w:rsidRDefault="00AF136A" w:rsidP="00AF136A">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AF136A" w:rsidRPr="002B0721" w14:paraId="326E99B5"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00ADE25E" w14:textId="77777777" w:rsidR="00AF136A" w:rsidRPr="002B0721" w:rsidRDefault="00AF136A" w:rsidP="00D92C6C">
            <w:pPr>
              <w:rPr>
                <w:sz w:val="18"/>
                <w:szCs w:val="18"/>
              </w:rPr>
            </w:pPr>
            <w:r w:rsidRPr="002B0721">
              <w:rPr>
                <w:sz w:val="18"/>
                <w:szCs w:val="18"/>
              </w:rPr>
              <w:t>ESG standard(ok)</w:t>
            </w:r>
          </w:p>
        </w:tc>
        <w:tc>
          <w:tcPr>
            <w:tcW w:w="3034" w:type="dxa"/>
          </w:tcPr>
          <w:p w14:paraId="29D1E9F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Hogyan kapcsolódik a pillérhez?</w:t>
            </w:r>
          </w:p>
        </w:tc>
        <w:tc>
          <w:tcPr>
            <w:tcW w:w="3068" w:type="dxa"/>
          </w:tcPr>
          <w:p w14:paraId="750A97CD"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(fejezet/ábra/táblázat)</w:t>
            </w:r>
          </w:p>
        </w:tc>
      </w:tr>
      <w:tr w:rsidR="00AF136A" w:rsidRPr="002B0721" w14:paraId="255F5B3E"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80B8B25" w14:textId="77777777" w:rsidR="00AF136A" w:rsidRPr="002B0721" w:rsidRDefault="00AF136A" w:rsidP="00D92C6C">
            <w:pPr>
              <w:rPr>
                <w:sz w:val="18"/>
                <w:szCs w:val="18"/>
              </w:rPr>
            </w:pPr>
            <w:r w:rsidRPr="002B0721">
              <w:rPr>
                <w:sz w:val="18"/>
                <w:szCs w:val="18"/>
              </w:rPr>
              <w:t xml:space="preserve">1.2, </w:t>
            </w:r>
          </w:p>
        </w:tc>
        <w:tc>
          <w:tcPr>
            <w:tcW w:w="3034" w:type="dxa"/>
          </w:tcPr>
          <w:p w14:paraId="4DE5F4D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09EEB34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4B12B569"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563C2DD1" w14:textId="77777777" w:rsidR="00AF136A" w:rsidRPr="002B0721" w:rsidRDefault="00AF136A" w:rsidP="00D92C6C">
            <w:pPr>
              <w:rPr>
                <w:sz w:val="18"/>
                <w:szCs w:val="18"/>
              </w:rPr>
            </w:pPr>
            <w:r w:rsidRPr="002B0721">
              <w:rPr>
                <w:sz w:val="18"/>
                <w:szCs w:val="18"/>
              </w:rPr>
              <w:t>1.3</w:t>
            </w:r>
          </w:p>
        </w:tc>
        <w:tc>
          <w:tcPr>
            <w:tcW w:w="3034" w:type="dxa"/>
          </w:tcPr>
          <w:p w14:paraId="5DB69207"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400CEDF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61B21AB9"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7C66752" w14:textId="77777777" w:rsidR="00AF136A" w:rsidRPr="002B0721" w:rsidRDefault="00AF136A" w:rsidP="00D92C6C">
            <w:pPr>
              <w:rPr>
                <w:sz w:val="18"/>
                <w:szCs w:val="18"/>
              </w:rPr>
            </w:pPr>
            <w:r w:rsidRPr="002B0721">
              <w:rPr>
                <w:sz w:val="18"/>
                <w:szCs w:val="18"/>
              </w:rPr>
              <w:t>1.4</w:t>
            </w:r>
          </w:p>
        </w:tc>
        <w:tc>
          <w:tcPr>
            <w:tcW w:w="3034" w:type="dxa"/>
          </w:tcPr>
          <w:p w14:paraId="0176770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38C110E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10024457"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08B82857" w14:textId="77777777" w:rsidR="00AF136A" w:rsidRPr="002B0721" w:rsidRDefault="00AF136A" w:rsidP="00D92C6C">
            <w:pPr>
              <w:rPr>
                <w:sz w:val="18"/>
                <w:szCs w:val="18"/>
              </w:rPr>
            </w:pPr>
            <w:r w:rsidRPr="002B0721">
              <w:rPr>
                <w:sz w:val="18"/>
                <w:szCs w:val="18"/>
              </w:rPr>
              <w:t>1.6</w:t>
            </w:r>
          </w:p>
        </w:tc>
        <w:tc>
          <w:tcPr>
            <w:tcW w:w="3034" w:type="dxa"/>
          </w:tcPr>
          <w:p w14:paraId="1BF0521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6D8B31C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69BAC25F"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4204805E" w14:textId="77777777" w:rsidR="00AF136A" w:rsidRPr="002B0721" w:rsidRDefault="00AF136A" w:rsidP="00D92C6C">
            <w:pPr>
              <w:rPr>
                <w:sz w:val="18"/>
                <w:szCs w:val="18"/>
              </w:rPr>
            </w:pPr>
            <w:r w:rsidRPr="002B0721">
              <w:rPr>
                <w:sz w:val="18"/>
                <w:szCs w:val="18"/>
              </w:rPr>
              <w:t>1.7</w:t>
            </w:r>
          </w:p>
        </w:tc>
        <w:tc>
          <w:tcPr>
            <w:tcW w:w="3034" w:type="dxa"/>
          </w:tcPr>
          <w:p w14:paraId="41BD69E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1A95390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5B30BB71"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3CBFB31E" w14:textId="77777777" w:rsidR="00AF136A" w:rsidRPr="002B0721" w:rsidRDefault="00AF136A" w:rsidP="00D92C6C">
            <w:pPr>
              <w:rPr>
                <w:sz w:val="18"/>
                <w:szCs w:val="18"/>
              </w:rPr>
            </w:pPr>
            <w:r w:rsidRPr="002B0721">
              <w:rPr>
                <w:sz w:val="18"/>
                <w:szCs w:val="18"/>
              </w:rPr>
              <w:t>1.9</w:t>
            </w:r>
          </w:p>
        </w:tc>
        <w:tc>
          <w:tcPr>
            <w:tcW w:w="3034" w:type="dxa"/>
          </w:tcPr>
          <w:p w14:paraId="2147625D"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4A9542CE"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7793B963" w14:textId="77777777" w:rsidR="00AF136A" w:rsidRPr="002B0721" w:rsidRDefault="00AF136A" w:rsidP="00AF136A"/>
    <w:p w14:paraId="793BF4E9" w14:textId="77777777" w:rsidR="00AF136A" w:rsidRPr="002B0721" w:rsidRDefault="00AF136A">
      <w:pPr>
        <w:spacing w:after="160" w:line="259" w:lineRule="auto"/>
        <w:jc w:val="left"/>
      </w:pPr>
      <w:r w:rsidRPr="002B0721">
        <w:br w:type="page"/>
      </w:r>
    </w:p>
    <w:p w14:paraId="0C2F88DB" w14:textId="77777777" w:rsidR="00AF136A" w:rsidRPr="002B0721" w:rsidRDefault="00AF136A" w:rsidP="00AF136A">
      <w:pPr>
        <w:pStyle w:val="Heading2"/>
      </w:pPr>
      <w:r w:rsidRPr="002B0721">
        <w:t>5. pillér - Tantervi struktúra, terhelés, munkavégzés melletti tanulhatóság</w:t>
      </w:r>
    </w:p>
    <w:p w14:paraId="3DECC401" w14:textId="77777777" w:rsidR="00005E43" w:rsidRDefault="00032A4C">
      <w:pPr>
        <w:pStyle w:val="Infobox"/>
      </w:pPr>
      <w:r>
        <w:t xml:space="preserve">INFOBOX: Ebben a pillérben a tanterv működőképességét kell vizsgálni a hallgatói terhelés, az előrehaladás logikája és a rugalmas </w:t>
      </w:r>
      <w:r w:rsidR="00005E43">
        <w:t>tanulmányi utak (különösen: előtanulmányi rend)</w:t>
      </w:r>
      <w:r>
        <w:t xml:space="preserve"> szempontjából. Mutassa be, mennyire reális az ECTS-</w:t>
      </w:r>
      <w:proofErr w:type="spellStart"/>
      <w:r>
        <w:t>hez</w:t>
      </w:r>
      <w:proofErr w:type="spellEnd"/>
      <w:r>
        <w:t xml:space="preserve"> rendelt </w:t>
      </w:r>
      <w:r w:rsidR="00005E43">
        <w:t>hallgatói munkaterhelés</w:t>
      </w:r>
      <w:r>
        <w:t>, hogyan oszlik meg a kontaktóra és az önálló tanulás</w:t>
      </w:r>
      <w:r w:rsidR="00005E43">
        <w:t>/ismeretszerzés</w:t>
      </w:r>
      <w:r>
        <w:t xml:space="preserve">, illetve hol vannak torlódások vagy előrehaladási akadályok. Különösen fontos annak vizsgálata, hogy a képzés </w:t>
      </w:r>
      <w:r w:rsidR="00005E43">
        <w:t xml:space="preserve">(mesterképzés) </w:t>
      </w:r>
      <w:r>
        <w:t xml:space="preserve">mennyiben teljesíthető munkavégzés mellett, illetve milyen rugalmas szervezési megoldások, WIL- vagy </w:t>
      </w:r>
      <w:proofErr w:type="spellStart"/>
      <w:r>
        <w:t>mikrotanúsítvány</w:t>
      </w:r>
      <w:proofErr w:type="spellEnd"/>
      <w:r>
        <w:t xml:space="preserve">-jellegű elemek támogatják ezt. A fejezet jó alapot ad a szerkezeti </w:t>
      </w:r>
      <w:proofErr w:type="spellStart"/>
      <w:r>
        <w:t>újratervezéshez</w:t>
      </w:r>
      <w:proofErr w:type="spellEnd"/>
      <w:r>
        <w:t xml:space="preserve"> és az oktatásszervezési reformokhoz. </w:t>
      </w:r>
    </w:p>
    <w:p w14:paraId="16A1F6ED" w14:textId="41ADA702" w:rsidR="00DA0DBC" w:rsidRDefault="00032A4C">
      <w:pPr>
        <w:pStyle w:val="Infobox"/>
      </w:pPr>
      <w:r>
        <w:t>Kapcsolódó ESG: 1.2 A képzési programok kialakítása és jóváhagyása, 1.3 Hallgatóközpontú tanulás, tanítás és értékelés, 1.4 A hallgatók felvétele, előrehaladása, tanulmányaik elismerése és a képesítés odaítélése, 1.6 Tanulástámogatás és hallgatói szolgáltatások, 1.9 A képzési programok folyamatos figyelemmel kísérése és rendszeres értékelése.</w:t>
      </w:r>
    </w:p>
    <w:p w14:paraId="464A3F8B" w14:textId="77777777" w:rsidR="00AF136A" w:rsidRPr="002B0721" w:rsidRDefault="00AF136A" w:rsidP="00AF136A">
      <w:pPr>
        <w:pStyle w:val="Heading3"/>
      </w:pPr>
      <w:r w:rsidRPr="002B0721">
        <w:t>A) Cél és kulcskérdések</w:t>
      </w:r>
    </w:p>
    <w:p w14:paraId="29747EC1"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kérdés&gt;&gt;</w:t>
      </w:r>
    </w:p>
    <w:p w14:paraId="181A776C" w14:textId="3118E774" w:rsidR="00F02C9C" w:rsidRPr="00F02C9C" w:rsidRDefault="00F02C9C" w:rsidP="00F02C9C">
      <w:pPr>
        <w:pStyle w:val="ListParagraph"/>
        <w:numPr>
          <w:ilvl w:val="0"/>
          <w:numId w:val="3"/>
        </w:numPr>
        <w:rPr>
          <w:highlight w:val="yellow"/>
        </w:rPr>
      </w:pPr>
      <w:r w:rsidRPr="00F02C9C">
        <w:rPr>
          <w:highlight w:val="yellow"/>
        </w:rPr>
        <w:t>Hol vannak torlódási pontok (előtanulmányi láncok, kritikus tárgyak, vizsgaidőszaki koncentráció)?</w:t>
      </w:r>
    </w:p>
    <w:p w14:paraId="4A642281" w14:textId="77777777" w:rsidR="00F02C9C" w:rsidRPr="00F02C9C" w:rsidRDefault="00F02C9C" w:rsidP="00F02C9C">
      <w:pPr>
        <w:pStyle w:val="ListParagraph"/>
        <w:numPr>
          <w:ilvl w:val="0"/>
          <w:numId w:val="3"/>
        </w:numPr>
        <w:rPr>
          <w:highlight w:val="yellow"/>
        </w:rPr>
      </w:pPr>
      <w:r w:rsidRPr="00F02C9C">
        <w:rPr>
          <w:highlight w:val="yellow"/>
        </w:rPr>
        <w:t xml:space="preserve">Reális-e az ECTS </w:t>
      </w:r>
      <w:proofErr w:type="spellStart"/>
      <w:r w:rsidRPr="00F02C9C">
        <w:rPr>
          <w:highlight w:val="yellow"/>
        </w:rPr>
        <w:t>hez</w:t>
      </w:r>
      <w:proofErr w:type="spellEnd"/>
      <w:r w:rsidRPr="00F02C9C">
        <w:rPr>
          <w:highlight w:val="yellow"/>
        </w:rPr>
        <w:t xml:space="preserve"> rendelt hallgatói munkaterhelés (kontaktóra + önálló tanulás, értékelések), és hol „szalad el” a terhelés?</w:t>
      </w:r>
    </w:p>
    <w:p w14:paraId="7E8C9882" w14:textId="77777777" w:rsidR="00F02C9C" w:rsidRPr="00F02C9C" w:rsidRDefault="00F02C9C" w:rsidP="00F02C9C">
      <w:pPr>
        <w:pStyle w:val="ListParagraph"/>
        <w:numPr>
          <w:ilvl w:val="0"/>
          <w:numId w:val="3"/>
        </w:numPr>
        <w:rPr>
          <w:highlight w:val="yellow"/>
        </w:rPr>
      </w:pPr>
      <w:r w:rsidRPr="00F02C9C">
        <w:rPr>
          <w:highlight w:val="yellow"/>
        </w:rPr>
        <w:t>Mennyire rugalmas a tanulási út: előtanulmányi rend, tárgyfelvételi logika, ütközések, ismétlési/javítási és pótlehetőségek?</w:t>
      </w:r>
    </w:p>
    <w:p w14:paraId="72C3B7C6" w14:textId="77777777" w:rsidR="00F02C9C" w:rsidRPr="00F02C9C" w:rsidRDefault="00F02C9C" w:rsidP="00F02C9C">
      <w:pPr>
        <w:pStyle w:val="ListParagraph"/>
        <w:numPr>
          <w:ilvl w:val="0"/>
          <w:numId w:val="3"/>
        </w:numPr>
        <w:rPr>
          <w:highlight w:val="yellow"/>
        </w:rPr>
      </w:pPr>
      <w:r w:rsidRPr="00F02C9C">
        <w:rPr>
          <w:highlight w:val="yellow"/>
        </w:rPr>
        <w:t xml:space="preserve">Munkavégzés mellett teljesíthető-e a program (különösen </w:t>
      </w:r>
      <w:proofErr w:type="spellStart"/>
      <w:r w:rsidRPr="00F02C9C">
        <w:rPr>
          <w:highlight w:val="yellow"/>
        </w:rPr>
        <w:t>MSc</w:t>
      </w:r>
      <w:proofErr w:type="spellEnd"/>
      <w:r w:rsidRPr="00F02C9C">
        <w:rPr>
          <w:highlight w:val="yellow"/>
        </w:rPr>
        <w:t xml:space="preserve">): órarend, </w:t>
      </w:r>
      <w:proofErr w:type="spellStart"/>
      <w:r w:rsidRPr="00F02C9C">
        <w:rPr>
          <w:highlight w:val="yellow"/>
        </w:rPr>
        <w:t>blokkosítás</w:t>
      </w:r>
      <w:proofErr w:type="spellEnd"/>
      <w:r w:rsidRPr="00F02C9C">
        <w:rPr>
          <w:highlight w:val="yellow"/>
        </w:rPr>
        <w:t xml:space="preserve">, </w:t>
      </w:r>
      <w:proofErr w:type="spellStart"/>
      <w:r w:rsidRPr="00F02C9C">
        <w:rPr>
          <w:highlight w:val="yellow"/>
        </w:rPr>
        <w:t>blended</w:t>
      </w:r>
      <w:proofErr w:type="spellEnd"/>
      <w:r w:rsidRPr="00F02C9C">
        <w:rPr>
          <w:highlight w:val="yellow"/>
        </w:rPr>
        <w:t>/hibrid lehetőségek, részidős (levelező) képzés?</w:t>
      </w:r>
    </w:p>
    <w:p w14:paraId="596E0D35" w14:textId="77777777" w:rsidR="00F02C9C" w:rsidRPr="00F02C9C" w:rsidRDefault="00F02C9C" w:rsidP="00F02C9C">
      <w:pPr>
        <w:pStyle w:val="ListParagraph"/>
        <w:numPr>
          <w:ilvl w:val="0"/>
          <w:numId w:val="3"/>
        </w:numPr>
        <w:rPr>
          <w:highlight w:val="yellow"/>
        </w:rPr>
      </w:pPr>
      <w:r w:rsidRPr="00F02C9C">
        <w:rPr>
          <w:highlight w:val="yellow"/>
        </w:rPr>
        <w:t>Van-e olyan szerkezeti elem (pl. WIL, modul/elágazó jelleg), ami csökkenti a lemorzsolódási kockázatot és javítja a „tanulhatóságot”, előrehaladást?</w:t>
      </w:r>
    </w:p>
    <w:p w14:paraId="3A9A9283" w14:textId="77777777" w:rsidR="00AF136A" w:rsidRPr="002B0721" w:rsidRDefault="00AF136A" w:rsidP="00AF136A">
      <w:pPr>
        <w:pStyle w:val="ListParagraph"/>
        <w:numPr>
          <w:ilvl w:val="0"/>
          <w:numId w:val="3"/>
        </w:numPr>
      </w:pPr>
      <w:r w:rsidRPr="002B0721">
        <w:t>&lt;&lt;KITÖLTENDŐ&gt;&gt;</w:t>
      </w:r>
    </w:p>
    <w:p w14:paraId="56F39011" w14:textId="77777777" w:rsidR="00AF136A" w:rsidRPr="002B0721" w:rsidRDefault="00AF136A" w:rsidP="00AF136A">
      <w:pPr>
        <w:pStyle w:val="Heading3"/>
      </w:pPr>
      <w:r w:rsidRPr="002B0721">
        <w:t>B) KPI-ok / mutatók</w:t>
      </w:r>
    </w:p>
    <w:p w14:paraId="58EACC44" w14:textId="77777777" w:rsidR="00AF136A" w:rsidRPr="002B0721" w:rsidRDefault="00AF136A" w:rsidP="00AF136A">
      <w:r w:rsidRPr="002B0721">
        <w:t>KPI / mutató tábla (trend + benchmark)</w:t>
      </w:r>
    </w:p>
    <w:tbl>
      <w:tblPr>
        <w:tblStyle w:val="GridTable5Dark-Accent1"/>
        <w:tblW w:w="0" w:type="auto"/>
        <w:tblLook w:val="04A0" w:firstRow="1" w:lastRow="0" w:firstColumn="1" w:lastColumn="0" w:noHBand="0" w:noVBand="1"/>
      </w:tblPr>
      <w:tblGrid>
        <w:gridCol w:w="1320"/>
        <w:gridCol w:w="1150"/>
        <w:gridCol w:w="1203"/>
        <w:gridCol w:w="737"/>
        <w:gridCol w:w="1018"/>
        <w:gridCol w:w="1310"/>
        <w:gridCol w:w="1310"/>
        <w:gridCol w:w="1014"/>
      </w:tblGrid>
      <w:tr w:rsidR="00AF136A" w:rsidRPr="002B0721" w14:paraId="4B441E07" w14:textId="77777777" w:rsidTr="007B7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42AB42B7" w14:textId="77777777" w:rsidR="00AF136A" w:rsidRPr="002B0721" w:rsidRDefault="00AF136A" w:rsidP="00D92C6C">
            <w:pPr>
              <w:rPr>
                <w:sz w:val="18"/>
                <w:szCs w:val="18"/>
              </w:rPr>
            </w:pPr>
            <w:r w:rsidRPr="002B0721">
              <w:rPr>
                <w:sz w:val="18"/>
                <w:szCs w:val="18"/>
              </w:rPr>
              <w:t>Mutató neve</w:t>
            </w:r>
          </w:p>
        </w:tc>
        <w:tc>
          <w:tcPr>
            <w:tcW w:w="1164" w:type="dxa"/>
          </w:tcPr>
          <w:p w14:paraId="3F2B438B" w14:textId="145C4101"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Definíció</w:t>
            </w:r>
          </w:p>
        </w:tc>
        <w:tc>
          <w:tcPr>
            <w:tcW w:w="1164" w:type="dxa"/>
          </w:tcPr>
          <w:p w14:paraId="79CAF5E6"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Adatforrás</w:t>
            </w:r>
          </w:p>
        </w:tc>
        <w:tc>
          <w:tcPr>
            <w:tcW w:w="1164" w:type="dxa"/>
          </w:tcPr>
          <w:p w14:paraId="7A48608D"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164" w:type="dxa"/>
          </w:tcPr>
          <w:p w14:paraId="45AD05EC"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1164" w:type="dxa"/>
          </w:tcPr>
          <w:p w14:paraId="19C8FC96"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Bázisérték</w:t>
            </w:r>
          </w:p>
        </w:tc>
        <w:tc>
          <w:tcPr>
            <w:tcW w:w="1164" w:type="dxa"/>
          </w:tcPr>
          <w:p w14:paraId="4E8ED5C4"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Célérték</w:t>
            </w:r>
          </w:p>
        </w:tc>
        <w:tc>
          <w:tcPr>
            <w:tcW w:w="907" w:type="dxa"/>
          </w:tcPr>
          <w:p w14:paraId="58ABA0C9"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F136A" w:rsidRPr="002B0721" w14:paraId="3D1F852E" w14:textId="77777777" w:rsidTr="007B7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0F40D8AC" w14:textId="7707DBC5" w:rsidR="00AF136A" w:rsidRPr="00DB3788" w:rsidRDefault="00F10CE9" w:rsidP="00D92C6C">
            <w:pPr>
              <w:rPr>
                <w:sz w:val="18"/>
                <w:szCs w:val="18"/>
                <w:highlight w:val="yellow"/>
              </w:rPr>
            </w:pPr>
            <w:r w:rsidRPr="00DB3788">
              <w:rPr>
                <w:sz w:val="18"/>
                <w:szCs w:val="18"/>
                <w:highlight w:val="yellow"/>
              </w:rPr>
              <w:t>Heti átlagos kontaktóraszám</w:t>
            </w:r>
            <w:r w:rsidR="00853DDA" w:rsidRPr="00DB3788">
              <w:rPr>
                <w:sz w:val="18"/>
                <w:szCs w:val="18"/>
                <w:highlight w:val="yellow"/>
              </w:rPr>
              <w:t xml:space="preserve"> </w:t>
            </w:r>
            <w:r w:rsidR="00853DDA" w:rsidRPr="00DB3788">
              <w:rPr>
                <w:sz w:val="18"/>
                <w:szCs w:val="18"/>
                <w:highlight w:val="yellow"/>
              </w:rPr>
              <w:t>(mintatanterv alapján)</w:t>
            </w:r>
          </w:p>
        </w:tc>
        <w:tc>
          <w:tcPr>
            <w:tcW w:w="1164" w:type="dxa"/>
          </w:tcPr>
          <w:p w14:paraId="45C50810" w14:textId="3B38B05D" w:rsidR="00AF136A" w:rsidRPr="00032A4C" w:rsidRDefault="00847F4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heti átlagos kontaktóraszám a mintatanterv</w:t>
            </w:r>
            <w:r w:rsidR="000C37F6" w:rsidRPr="00032A4C">
              <w:rPr>
                <w:sz w:val="18"/>
                <w:szCs w:val="18"/>
                <w:highlight w:val="yellow"/>
              </w:rPr>
              <w:t>ben szereplő tantárgyak kimérete alapján számolható</w:t>
            </w:r>
          </w:p>
        </w:tc>
        <w:tc>
          <w:tcPr>
            <w:tcW w:w="1164" w:type="dxa"/>
          </w:tcPr>
          <w:p w14:paraId="32D335E4" w14:textId="3949B216" w:rsidR="00AF136A" w:rsidRPr="00032A4C" w:rsidRDefault="000C37F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Mintatanterv</w:t>
            </w:r>
          </w:p>
        </w:tc>
        <w:tc>
          <w:tcPr>
            <w:tcW w:w="1164" w:type="dxa"/>
          </w:tcPr>
          <w:p w14:paraId="6BC72AC4" w14:textId="5B41C185"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tcW w:w="1164" w:type="dxa"/>
          </w:tcPr>
          <w:p w14:paraId="52C09138" w14:textId="0552FB00" w:rsidR="00AF136A" w:rsidRPr="00032A4C" w:rsidRDefault="000C37F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w:t>
            </w:r>
          </w:p>
        </w:tc>
        <w:tc>
          <w:tcPr>
            <w:tcW w:w="1164" w:type="dxa"/>
          </w:tcPr>
          <w:p w14:paraId="40900076"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64" w:type="dxa"/>
          </w:tcPr>
          <w:p w14:paraId="6F6E9704"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907" w:type="dxa"/>
          </w:tcPr>
          <w:p w14:paraId="00A460BB"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AF136A" w:rsidRPr="002B0721" w14:paraId="5B7245D1" w14:textId="77777777" w:rsidTr="007B73D6">
        <w:tc>
          <w:tcPr>
            <w:cnfStyle w:val="001000000000" w:firstRow="0" w:lastRow="0" w:firstColumn="1" w:lastColumn="0" w:oddVBand="0" w:evenVBand="0" w:oddHBand="0" w:evenHBand="0" w:firstRowFirstColumn="0" w:firstRowLastColumn="0" w:lastRowFirstColumn="0" w:lastRowLastColumn="0"/>
            <w:tcW w:w="1171" w:type="dxa"/>
          </w:tcPr>
          <w:p w14:paraId="7D4505BB" w14:textId="21BD3B09" w:rsidR="00AF136A" w:rsidRPr="00DB3788" w:rsidRDefault="00F10CE9" w:rsidP="00D92C6C">
            <w:pPr>
              <w:rPr>
                <w:sz w:val="18"/>
                <w:szCs w:val="18"/>
                <w:highlight w:val="yellow"/>
              </w:rPr>
            </w:pPr>
            <w:proofErr w:type="spellStart"/>
            <w:r w:rsidRPr="00DB3788">
              <w:rPr>
                <w:sz w:val="18"/>
                <w:szCs w:val="18"/>
                <w:highlight w:val="yellow"/>
              </w:rPr>
              <w:t>Blokkosítás</w:t>
            </w:r>
            <w:proofErr w:type="spellEnd"/>
          </w:p>
        </w:tc>
        <w:tc>
          <w:tcPr>
            <w:tcW w:w="1164" w:type="dxa"/>
          </w:tcPr>
          <w:p w14:paraId="5BF9E24D" w14:textId="06CCFF1E" w:rsidR="00AF136A" w:rsidRPr="00032A4C" w:rsidRDefault="000C37F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K</w:t>
            </w:r>
            <w:r w:rsidR="00F10CE9" w:rsidRPr="00032A4C">
              <w:rPr>
                <w:sz w:val="18"/>
                <w:szCs w:val="18"/>
                <w:highlight w:val="yellow"/>
              </w:rPr>
              <w:t>ontaktórával feltöltött napok száma / hét</w:t>
            </w:r>
          </w:p>
        </w:tc>
        <w:tc>
          <w:tcPr>
            <w:tcW w:w="1164" w:type="dxa"/>
          </w:tcPr>
          <w:p w14:paraId="1C6B781F" w14:textId="096E9568" w:rsidR="00AF136A" w:rsidRPr="00032A4C" w:rsidRDefault="000C37F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NEPTUN: Kurzuskínálat, órarend (oktatási dékánhelyettestől elkérhető)</w:t>
            </w:r>
          </w:p>
        </w:tc>
        <w:tc>
          <w:tcPr>
            <w:tcW w:w="1164" w:type="dxa"/>
          </w:tcPr>
          <w:p w14:paraId="61EBF010" w14:textId="72667FAF"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c>
          <w:tcPr>
            <w:tcW w:w="1164" w:type="dxa"/>
          </w:tcPr>
          <w:p w14:paraId="3365757F" w14:textId="0899016D" w:rsidR="00AF136A" w:rsidRPr="00032A4C" w:rsidRDefault="000C37F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w:t>
            </w:r>
          </w:p>
        </w:tc>
        <w:tc>
          <w:tcPr>
            <w:tcW w:w="1164" w:type="dxa"/>
          </w:tcPr>
          <w:p w14:paraId="56596140"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64" w:type="dxa"/>
          </w:tcPr>
          <w:p w14:paraId="3DF4C578"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907" w:type="dxa"/>
          </w:tcPr>
          <w:p w14:paraId="724851AD"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AF136A" w:rsidRPr="002B0721" w14:paraId="4E464276" w14:textId="77777777" w:rsidTr="007B7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49ED5963" w14:textId="1547A1A0" w:rsidR="00AF136A" w:rsidRPr="00DB3788" w:rsidRDefault="00CA678C" w:rsidP="00D92C6C">
            <w:pPr>
              <w:rPr>
                <w:sz w:val="18"/>
                <w:szCs w:val="18"/>
                <w:highlight w:val="yellow"/>
              </w:rPr>
            </w:pPr>
            <w:r w:rsidRPr="00DB3788">
              <w:rPr>
                <w:sz w:val="18"/>
                <w:szCs w:val="18"/>
                <w:highlight w:val="yellow"/>
              </w:rPr>
              <w:t>Tantárgyszám</w:t>
            </w:r>
          </w:p>
        </w:tc>
        <w:tc>
          <w:tcPr>
            <w:tcW w:w="1164" w:type="dxa"/>
          </w:tcPr>
          <w:p w14:paraId="318B0B79" w14:textId="37F665F1" w:rsidR="00AF136A" w:rsidRPr="00032A4C" w:rsidRDefault="00CA678C"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Átlagos tantárgyszám félévenként</w:t>
            </w:r>
          </w:p>
        </w:tc>
        <w:tc>
          <w:tcPr>
            <w:tcW w:w="1164" w:type="dxa"/>
          </w:tcPr>
          <w:p w14:paraId="3E43F900" w14:textId="594F8B6C" w:rsidR="00AF136A" w:rsidRPr="00032A4C" w:rsidRDefault="000C37F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Mintatanterv</w:t>
            </w:r>
          </w:p>
        </w:tc>
        <w:tc>
          <w:tcPr>
            <w:tcW w:w="1164" w:type="dxa"/>
          </w:tcPr>
          <w:p w14:paraId="50B438E2" w14:textId="43840D2A"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c>
          <w:tcPr>
            <w:tcW w:w="1164" w:type="dxa"/>
          </w:tcPr>
          <w:p w14:paraId="2CF725AC" w14:textId="7A182A47" w:rsidR="00AF136A" w:rsidRPr="00032A4C" w:rsidRDefault="000C37F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w:t>
            </w:r>
          </w:p>
        </w:tc>
        <w:tc>
          <w:tcPr>
            <w:tcW w:w="1164" w:type="dxa"/>
          </w:tcPr>
          <w:p w14:paraId="206CFCB8"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64" w:type="dxa"/>
          </w:tcPr>
          <w:p w14:paraId="1027F264"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907" w:type="dxa"/>
          </w:tcPr>
          <w:p w14:paraId="678AAE1B"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5E36B0" w:rsidRPr="002B0721" w14:paraId="76873359" w14:textId="77777777" w:rsidTr="007B73D6">
        <w:tc>
          <w:tcPr>
            <w:cnfStyle w:val="001000000000" w:firstRow="0" w:lastRow="0" w:firstColumn="1" w:lastColumn="0" w:oddVBand="0" w:evenVBand="0" w:oddHBand="0" w:evenHBand="0" w:firstRowFirstColumn="0" w:firstRowLastColumn="0" w:lastRowFirstColumn="0" w:lastRowLastColumn="0"/>
            <w:tcW w:w="1171" w:type="dxa"/>
          </w:tcPr>
          <w:p w14:paraId="78707DFC" w14:textId="4D1ADEEC" w:rsidR="005E36B0" w:rsidRPr="00DB3788" w:rsidRDefault="005E36B0" w:rsidP="005E36B0">
            <w:pPr>
              <w:rPr>
                <w:sz w:val="18"/>
                <w:szCs w:val="18"/>
                <w:highlight w:val="yellow"/>
              </w:rPr>
            </w:pPr>
            <w:r w:rsidRPr="00DB3788">
              <w:rPr>
                <w:rStyle w:val="HTMLCode"/>
                <w:rFonts w:ascii="Palatino Linotype" w:eastAsiaTheme="majorEastAsia" w:hAnsi="Palatino Linotype"/>
                <w:sz w:val="18"/>
                <w:szCs w:val="18"/>
                <w:highlight w:val="yellow"/>
              </w:rPr>
              <w:t>Csúcsterhelési elégedettségi arány</w:t>
            </w:r>
          </w:p>
        </w:tc>
        <w:tc>
          <w:tcPr>
            <w:tcW w:w="1164" w:type="dxa"/>
          </w:tcPr>
          <w:p w14:paraId="0E9E1394" w14:textId="273C31A7" w:rsidR="005E36B0" w:rsidRPr="00032A4C" w:rsidRDefault="005E36B0" w:rsidP="005E36B0">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rStyle w:val="HTMLCode"/>
                <w:rFonts w:ascii="Palatino Linotype" w:eastAsiaTheme="majorEastAsia" w:hAnsi="Palatino Linotype"/>
                <w:color w:val="000000" w:themeColor="text1"/>
                <w:sz w:val="18"/>
                <w:szCs w:val="18"/>
                <w:highlight w:val="yellow"/>
              </w:rPr>
              <w:t>A „képzés teljesítéséhez szükséges időráfordítás meglátásom szerint túl sok" állítással (inkább/teljes mértékben) egyetértők aránya</w:t>
            </w:r>
          </w:p>
        </w:tc>
        <w:tc>
          <w:tcPr>
            <w:tcW w:w="1164" w:type="dxa"/>
          </w:tcPr>
          <w:p w14:paraId="6161BEF3" w14:textId="60CF3139" w:rsidR="005E36B0" w:rsidRPr="00032A4C" w:rsidRDefault="005E36B0" w:rsidP="005E36B0">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rStyle w:val="HTMLCode"/>
                <w:rFonts w:ascii="Palatino Linotype" w:eastAsiaTheme="majorEastAsia" w:hAnsi="Palatino Linotype"/>
                <w:color w:val="000000" w:themeColor="text1"/>
                <w:sz w:val="18"/>
                <w:szCs w:val="18"/>
                <w:highlight w:val="yellow"/>
              </w:rPr>
              <w:t>Nagymintás hallgatói kérdőív</w:t>
            </w:r>
          </w:p>
        </w:tc>
        <w:tc>
          <w:tcPr>
            <w:tcW w:w="1164" w:type="dxa"/>
          </w:tcPr>
          <w:p w14:paraId="7DE7543A" w14:textId="27743B37" w:rsidR="005E36B0" w:rsidRPr="00032A4C" w:rsidRDefault="005E36B0" w:rsidP="005E36B0">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rStyle w:val="HTMLCode"/>
                <w:rFonts w:ascii="Palatino Linotype" w:eastAsiaTheme="majorEastAsia" w:hAnsi="Palatino Linotype"/>
                <w:color w:val="000000" w:themeColor="text1"/>
                <w:sz w:val="18"/>
                <w:szCs w:val="18"/>
                <w:highlight w:val="yellow"/>
              </w:rPr>
              <w:t>2026</w:t>
            </w:r>
          </w:p>
        </w:tc>
        <w:tc>
          <w:tcPr>
            <w:tcW w:w="1164" w:type="dxa"/>
          </w:tcPr>
          <w:p w14:paraId="2E97411D" w14:textId="74392779" w:rsidR="005E36B0" w:rsidRPr="00032A4C" w:rsidRDefault="00CE6A7E" w:rsidP="005E36B0">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w:t>
            </w:r>
          </w:p>
        </w:tc>
        <w:tc>
          <w:tcPr>
            <w:tcW w:w="1164" w:type="dxa"/>
          </w:tcPr>
          <w:p w14:paraId="7BA9BBBD" w14:textId="57ECD403" w:rsidR="005E36B0" w:rsidRPr="00032A4C" w:rsidRDefault="005E36B0" w:rsidP="005E36B0">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64" w:type="dxa"/>
          </w:tcPr>
          <w:p w14:paraId="3994496E" w14:textId="790526A0" w:rsidR="005E36B0" w:rsidRPr="00032A4C" w:rsidRDefault="005E36B0" w:rsidP="005E36B0">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907" w:type="dxa"/>
          </w:tcPr>
          <w:p w14:paraId="08D1DFE6" w14:textId="32B7B131" w:rsidR="005E36B0" w:rsidRPr="00032A4C" w:rsidRDefault="005E36B0" w:rsidP="005E36B0">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F02C9C" w:rsidRPr="002B0721" w14:paraId="5D72C8A0" w14:textId="77777777" w:rsidTr="007B7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3BC9D166" w14:textId="31043D57" w:rsidR="00F02C9C" w:rsidRPr="00DB3788" w:rsidRDefault="00F02C9C" w:rsidP="00F02C9C">
            <w:pPr>
              <w:rPr>
                <w:sz w:val="18"/>
                <w:szCs w:val="18"/>
                <w:highlight w:val="yellow"/>
              </w:rPr>
            </w:pPr>
            <w:r w:rsidRPr="00DB3788">
              <w:rPr>
                <w:sz w:val="18"/>
                <w:szCs w:val="18"/>
                <w:highlight w:val="yellow"/>
              </w:rPr>
              <w:t>Kreditelőrehaladás</w:t>
            </w:r>
          </w:p>
        </w:tc>
        <w:tc>
          <w:tcPr>
            <w:tcW w:w="1164" w:type="dxa"/>
          </w:tcPr>
          <w:p w14:paraId="4872F778" w14:textId="65A240A7" w:rsidR="00F02C9C" w:rsidRPr="00032A4C" w:rsidRDefault="00F02C9C" w:rsidP="00F02C9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Az adott félévben aktív, legalább 28 teljesített kredittel rendelkező hallgatók aránya.</w:t>
            </w:r>
          </w:p>
        </w:tc>
        <w:tc>
          <w:tcPr>
            <w:tcW w:w="1164" w:type="dxa"/>
          </w:tcPr>
          <w:p w14:paraId="7D8C8005" w14:textId="7213AFDB" w:rsidR="00F02C9C" w:rsidRPr="00032A4C" w:rsidRDefault="00F02C9C" w:rsidP="00F02C9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OMHV eredmények / részletes eredményességi adatok</w:t>
            </w:r>
          </w:p>
        </w:tc>
        <w:tc>
          <w:tcPr>
            <w:tcW w:w="1164" w:type="dxa"/>
          </w:tcPr>
          <w:p w14:paraId="12184052" w14:textId="6E604DEB" w:rsidR="00F02C9C" w:rsidRPr="00032A4C" w:rsidRDefault="00F02C9C" w:rsidP="00F02C9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2023–2025</w:t>
            </w:r>
          </w:p>
        </w:tc>
        <w:tc>
          <w:tcPr>
            <w:tcW w:w="1164" w:type="dxa"/>
          </w:tcPr>
          <w:p w14:paraId="4768510C" w14:textId="29EE4BF3" w:rsidR="00F02C9C" w:rsidRPr="00032A4C" w:rsidRDefault="00EC0664" w:rsidP="00F02C9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w:t>
            </w:r>
          </w:p>
        </w:tc>
        <w:tc>
          <w:tcPr>
            <w:tcW w:w="1164" w:type="dxa"/>
          </w:tcPr>
          <w:p w14:paraId="07FA093D" w14:textId="457B3B1C" w:rsidR="00F02C9C" w:rsidRPr="00032A4C" w:rsidRDefault="00F02C9C" w:rsidP="00F02C9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64" w:type="dxa"/>
          </w:tcPr>
          <w:p w14:paraId="1E410E67" w14:textId="02F58F2F" w:rsidR="00F02C9C" w:rsidRPr="00032A4C" w:rsidRDefault="00F02C9C" w:rsidP="00F02C9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907" w:type="dxa"/>
          </w:tcPr>
          <w:p w14:paraId="40D24375" w14:textId="2182A869" w:rsidR="00F02C9C" w:rsidRPr="00032A4C" w:rsidRDefault="00F02C9C" w:rsidP="00F02C9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A hallgatói élménnyel együtt értelmezendő, nem önmagában</w:t>
            </w:r>
          </w:p>
        </w:tc>
      </w:tr>
      <w:tr w:rsidR="007B73D6" w:rsidRPr="002B0721" w14:paraId="17B6BD09" w14:textId="77777777" w:rsidTr="007B73D6">
        <w:tc>
          <w:tcPr>
            <w:cnfStyle w:val="001000000000" w:firstRow="0" w:lastRow="0" w:firstColumn="1" w:lastColumn="0" w:oddVBand="0" w:evenVBand="0" w:oddHBand="0" w:evenHBand="0" w:firstRowFirstColumn="0" w:firstRowLastColumn="0" w:lastRowFirstColumn="0" w:lastRowLastColumn="0"/>
            <w:tcW w:w="1171" w:type="dxa"/>
          </w:tcPr>
          <w:p w14:paraId="17879C43" w14:textId="4B06FD28" w:rsidR="007B73D6" w:rsidRPr="00DB3788" w:rsidRDefault="007B73D6" w:rsidP="007B73D6">
            <w:pPr>
              <w:rPr>
                <w:sz w:val="18"/>
                <w:szCs w:val="18"/>
                <w:highlight w:val="yellow"/>
              </w:rPr>
            </w:pPr>
            <w:r w:rsidRPr="00DB3788">
              <w:rPr>
                <w:sz w:val="18"/>
                <w:szCs w:val="18"/>
                <w:highlight w:val="yellow"/>
              </w:rPr>
              <w:t>Kritikus tantárgyak aránya</w:t>
            </w:r>
          </w:p>
        </w:tc>
        <w:tc>
          <w:tcPr>
            <w:tcW w:w="1164" w:type="dxa"/>
          </w:tcPr>
          <w:p w14:paraId="48826CAA" w14:textId="2E4D6BD6" w:rsidR="007B73D6" w:rsidRPr="00032A4C" w:rsidRDefault="007B73D6" w:rsidP="007B73D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Azon mintatanterv szerint kötelező vagy kötelezően választható tantárgyak aránya, amelyek sikeressége nem éri el a 70%-ot az adott félévben.</w:t>
            </w:r>
          </w:p>
        </w:tc>
        <w:tc>
          <w:tcPr>
            <w:tcW w:w="1164" w:type="dxa"/>
          </w:tcPr>
          <w:p w14:paraId="4E8F83AF" w14:textId="7BAE985A" w:rsidR="007B73D6" w:rsidRPr="00032A4C" w:rsidRDefault="007B73D6" w:rsidP="007B73D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OMHV eredmények / részletes eredményességi adatok</w:t>
            </w:r>
          </w:p>
        </w:tc>
        <w:tc>
          <w:tcPr>
            <w:tcW w:w="1164" w:type="dxa"/>
          </w:tcPr>
          <w:p w14:paraId="72BBA6D0" w14:textId="4B083E5F" w:rsidR="007B73D6" w:rsidRPr="00032A4C" w:rsidRDefault="007B73D6" w:rsidP="007B73D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2023–2025</w:t>
            </w:r>
          </w:p>
        </w:tc>
        <w:tc>
          <w:tcPr>
            <w:tcW w:w="1164" w:type="dxa"/>
          </w:tcPr>
          <w:p w14:paraId="23FB7C64" w14:textId="1AF87F83" w:rsidR="007B73D6" w:rsidRPr="00032A4C" w:rsidRDefault="00EC0664" w:rsidP="007B73D6">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w:t>
            </w:r>
          </w:p>
        </w:tc>
        <w:tc>
          <w:tcPr>
            <w:tcW w:w="1164" w:type="dxa"/>
          </w:tcPr>
          <w:p w14:paraId="01DFC181" w14:textId="4FADFDDB" w:rsidR="007B73D6" w:rsidRPr="00032A4C" w:rsidRDefault="007B73D6" w:rsidP="007B73D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164" w:type="dxa"/>
          </w:tcPr>
          <w:p w14:paraId="000F15AF" w14:textId="091AD77D" w:rsidR="007B73D6" w:rsidRPr="00032A4C" w:rsidRDefault="007B73D6" w:rsidP="007B73D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907" w:type="dxa"/>
          </w:tcPr>
          <w:p w14:paraId="5DBF874F" w14:textId="65C988D6" w:rsidR="007B73D6" w:rsidRPr="00032A4C" w:rsidRDefault="007B73D6" w:rsidP="007B73D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 torlódási pontok azonosítására</w:t>
            </w:r>
          </w:p>
        </w:tc>
      </w:tr>
    </w:tbl>
    <w:p w14:paraId="587EB4EB" w14:textId="77777777" w:rsidR="00AF136A" w:rsidRPr="002B0721" w:rsidRDefault="00AF136A" w:rsidP="00AF136A">
      <w:pPr>
        <w:pStyle w:val="Heading3"/>
      </w:pPr>
      <w:r w:rsidRPr="002B0721">
        <w:t xml:space="preserve">C) Elemzések és ábrák </w:t>
      </w:r>
    </w:p>
    <w:p w14:paraId="0FEF937C"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74F9B60A"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Szegmentáció (ha releváns)</w:t>
      </w:r>
    </w:p>
    <w:p w14:paraId="2AC98E1A"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Benchmark (ha elérhető)</w:t>
      </w:r>
    </w:p>
    <w:p w14:paraId="115D47A7"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42927ABB"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Kritikus pontok (tantárgyak) / kritikus tanulmányi utal </w:t>
      </w:r>
    </w:p>
    <w:p w14:paraId="087B2018" w14:textId="77777777" w:rsidR="00AF136A" w:rsidRPr="002B0721" w:rsidRDefault="00AF136A" w:rsidP="00AF136A">
      <w:pPr>
        <w:pStyle w:val="Heading3"/>
      </w:pPr>
      <w:r w:rsidRPr="002B0721">
        <w:t>D) Fő megállapítások</w:t>
      </w:r>
    </w:p>
    <w:p w14:paraId="768AE91F" w14:textId="77777777" w:rsidR="00AF136A" w:rsidRPr="002B0721" w:rsidRDefault="00AF136A" w:rsidP="00AF136A">
      <w:r w:rsidRPr="002B0721">
        <w:rPr>
          <w:i/>
          <w:color w:val="005A9C"/>
        </w:rPr>
        <w:t>&lt;&lt;3-7 pont&gt;&gt;</w:t>
      </w:r>
    </w:p>
    <w:p w14:paraId="0FC387A7" w14:textId="2B3E92E2" w:rsidR="00853DDA" w:rsidRPr="00853DDA" w:rsidRDefault="00853DDA" w:rsidP="00853DDA">
      <w:pPr>
        <w:pStyle w:val="ListParagraph"/>
        <w:numPr>
          <w:ilvl w:val="0"/>
          <w:numId w:val="6"/>
        </w:numPr>
        <w:rPr>
          <w:highlight w:val="yellow"/>
        </w:rPr>
      </w:pPr>
      <w:r w:rsidRPr="00853DDA">
        <w:rPr>
          <w:highlight w:val="yellow"/>
        </w:rPr>
        <w:t>A tanterv formálisan koherens, de a terhelés/előtanulmányi lánc miatt a hallgatók nem lineárisan haladnak.</w:t>
      </w:r>
    </w:p>
    <w:p w14:paraId="5B37BDF3" w14:textId="1A95AB8A" w:rsidR="00853DDA" w:rsidRPr="00853DDA" w:rsidRDefault="00853DDA" w:rsidP="00853DDA">
      <w:pPr>
        <w:pStyle w:val="ListParagraph"/>
        <w:numPr>
          <w:ilvl w:val="0"/>
          <w:numId w:val="6"/>
        </w:numPr>
        <w:rPr>
          <w:highlight w:val="yellow"/>
        </w:rPr>
      </w:pPr>
      <w:r w:rsidRPr="00853DDA">
        <w:rPr>
          <w:highlight w:val="yellow"/>
        </w:rPr>
        <w:t>A kontaktóra</w:t>
      </w:r>
      <w:r w:rsidRPr="00853DDA">
        <w:rPr>
          <w:highlight w:val="yellow"/>
        </w:rPr>
        <w:noBreakHyphen/>
        <w:t>szerkezet nem kompatibilis a célcsoport munkavégzési jellegzetességeivel, ehhez kapcsolódó elvárásaival.</w:t>
      </w:r>
    </w:p>
    <w:p w14:paraId="231AC356" w14:textId="269C806E" w:rsidR="00853DDA" w:rsidRPr="00853DDA" w:rsidRDefault="00853DDA" w:rsidP="00853DDA">
      <w:pPr>
        <w:pStyle w:val="ListParagraph"/>
        <w:numPr>
          <w:ilvl w:val="0"/>
          <w:numId w:val="6"/>
        </w:numPr>
        <w:rPr>
          <w:highlight w:val="yellow"/>
        </w:rPr>
      </w:pPr>
      <w:r w:rsidRPr="00853DDA">
        <w:rPr>
          <w:highlight w:val="yellow"/>
        </w:rPr>
        <w:t>A torlódás néhány kritikus tárgyban koncentrálódik</w:t>
      </w:r>
      <w:r>
        <w:rPr>
          <w:highlight w:val="yellow"/>
        </w:rPr>
        <w:t>,</w:t>
      </w:r>
      <w:r w:rsidRPr="00853DDA">
        <w:rPr>
          <w:highlight w:val="yellow"/>
        </w:rPr>
        <w:t xml:space="preserve"> ezek reformja adja a legnagyobb hatást.</w:t>
      </w:r>
    </w:p>
    <w:p w14:paraId="034FF4B2" w14:textId="6AFA65A8" w:rsidR="00AF136A" w:rsidRPr="002B0721" w:rsidRDefault="00AF136A" w:rsidP="00AF136A">
      <w:pPr>
        <w:pStyle w:val="ListParagraph"/>
        <w:numPr>
          <w:ilvl w:val="0"/>
          <w:numId w:val="6"/>
        </w:numPr>
      </w:pPr>
      <w:r w:rsidRPr="002B0721">
        <w:t>&lt;&lt;KITÖLTENDŐ&gt;&gt;</w:t>
      </w:r>
    </w:p>
    <w:p w14:paraId="2D6AF023" w14:textId="77777777" w:rsidR="00AF136A" w:rsidRPr="002B0721" w:rsidRDefault="00AF136A" w:rsidP="00AF136A">
      <w:pPr>
        <w:pStyle w:val="Heading3"/>
      </w:pPr>
      <w:r w:rsidRPr="002B0721">
        <w:t>E) Döntési opciók</w:t>
      </w:r>
    </w:p>
    <w:p w14:paraId="7A8B2D47" w14:textId="77777777" w:rsidR="00AF136A" w:rsidRPr="002B0721" w:rsidRDefault="00AF136A" w:rsidP="00AF136A">
      <w:r w:rsidRPr="002B0721">
        <w:t>Döntési opciók (min. 2-3 alternatíva)</w:t>
      </w:r>
    </w:p>
    <w:tbl>
      <w:tblPr>
        <w:tblStyle w:val="GridTable5Dark-Accent1"/>
        <w:tblW w:w="0" w:type="auto"/>
        <w:tblLook w:val="04A0" w:firstRow="1" w:lastRow="0" w:firstColumn="1" w:lastColumn="0" w:noHBand="0" w:noVBand="1"/>
      </w:tblPr>
      <w:tblGrid>
        <w:gridCol w:w="639"/>
        <w:gridCol w:w="2273"/>
        <w:gridCol w:w="1542"/>
        <w:gridCol w:w="1536"/>
        <w:gridCol w:w="1536"/>
        <w:gridCol w:w="1536"/>
      </w:tblGrid>
      <w:tr w:rsidR="00853DDA" w:rsidRPr="002B0721" w14:paraId="2EF6D3A7" w14:textId="77777777" w:rsidTr="00853D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9" w:type="dxa"/>
          </w:tcPr>
          <w:p w14:paraId="48550756" w14:textId="77777777" w:rsidR="00AF136A" w:rsidRPr="002B0721" w:rsidRDefault="00AF136A" w:rsidP="00D92C6C">
            <w:pPr>
              <w:rPr>
                <w:sz w:val="18"/>
                <w:szCs w:val="18"/>
              </w:rPr>
            </w:pPr>
            <w:r w:rsidRPr="002B0721">
              <w:rPr>
                <w:sz w:val="18"/>
                <w:szCs w:val="18"/>
              </w:rPr>
              <w:t>Opció</w:t>
            </w:r>
          </w:p>
        </w:tc>
        <w:tc>
          <w:tcPr>
            <w:tcW w:w="2273" w:type="dxa"/>
          </w:tcPr>
          <w:p w14:paraId="0107428A"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Leírás</w:t>
            </w:r>
          </w:p>
        </w:tc>
        <w:tc>
          <w:tcPr>
            <w:tcW w:w="1542" w:type="dxa"/>
          </w:tcPr>
          <w:p w14:paraId="0E9068E0"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 (KPI)</w:t>
            </w:r>
          </w:p>
        </w:tc>
        <w:tc>
          <w:tcPr>
            <w:tcW w:w="1536" w:type="dxa"/>
          </w:tcPr>
          <w:p w14:paraId="55140A74"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Erőforrásigény / költség</w:t>
            </w:r>
          </w:p>
        </w:tc>
        <w:tc>
          <w:tcPr>
            <w:tcW w:w="1536" w:type="dxa"/>
          </w:tcPr>
          <w:p w14:paraId="7CE1E881"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 (hónap)</w:t>
            </w:r>
          </w:p>
        </w:tc>
        <w:tc>
          <w:tcPr>
            <w:tcW w:w="1536" w:type="dxa"/>
          </w:tcPr>
          <w:p w14:paraId="01A195A7"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Fő kockázat + </w:t>
            </w:r>
            <w:proofErr w:type="spellStart"/>
            <w:r w:rsidRPr="002B0721">
              <w:rPr>
                <w:sz w:val="18"/>
                <w:szCs w:val="18"/>
              </w:rPr>
              <w:t>mitigáció</w:t>
            </w:r>
            <w:proofErr w:type="spellEnd"/>
          </w:p>
        </w:tc>
      </w:tr>
      <w:tr w:rsidR="00853DDA" w:rsidRPr="002B0721" w14:paraId="7BD28FF3" w14:textId="77777777" w:rsidTr="0085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4E22790C" w14:textId="77777777" w:rsidR="00AF136A" w:rsidRPr="002B0721" w:rsidRDefault="00AF136A" w:rsidP="00D92C6C">
            <w:pPr>
              <w:rPr>
                <w:sz w:val="18"/>
                <w:szCs w:val="18"/>
              </w:rPr>
            </w:pPr>
            <w:r w:rsidRPr="002B0721">
              <w:rPr>
                <w:sz w:val="18"/>
                <w:szCs w:val="18"/>
              </w:rPr>
              <w:t>Opció 1</w:t>
            </w:r>
          </w:p>
        </w:tc>
        <w:tc>
          <w:tcPr>
            <w:tcW w:w="2273" w:type="dxa"/>
          </w:tcPr>
          <w:p w14:paraId="1B8A9C5D" w14:textId="30FBAF07" w:rsidR="00AF136A" w:rsidRPr="00853DDA" w:rsidRDefault="00853DD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 xml:space="preserve">Tantervi „tehermentesítő” </w:t>
            </w:r>
            <w:proofErr w:type="spellStart"/>
            <w:r w:rsidRPr="00853DDA">
              <w:rPr>
                <w:sz w:val="18"/>
                <w:szCs w:val="18"/>
                <w:highlight w:val="yellow"/>
              </w:rPr>
              <w:t>redesign</w:t>
            </w:r>
            <w:proofErr w:type="spellEnd"/>
            <w:r w:rsidRPr="00853DDA">
              <w:rPr>
                <w:sz w:val="18"/>
                <w:szCs w:val="18"/>
                <w:highlight w:val="yellow"/>
              </w:rPr>
              <w:t xml:space="preserve">: előfeltételi rend tisztítása, tárgyak </w:t>
            </w:r>
            <w:proofErr w:type="spellStart"/>
            <w:r w:rsidRPr="00853DDA">
              <w:rPr>
                <w:sz w:val="18"/>
                <w:szCs w:val="18"/>
                <w:highlight w:val="yellow"/>
              </w:rPr>
              <w:t>újraütemezése</w:t>
            </w:r>
            <w:proofErr w:type="spellEnd"/>
            <w:r w:rsidRPr="00853DDA">
              <w:rPr>
                <w:sz w:val="18"/>
                <w:szCs w:val="18"/>
                <w:highlight w:val="yellow"/>
              </w:rPr>
              <w:t>, kreditarányok korrekciója.</w:t>
            </w:r>
          </w:p>
        </w:tc>
        <w:tc>
          <w:tcPr>
            <w:tcW w:w="1542" w:type="dxa"/>
          </w:tcPr>
          <w:p w14:paraId="2F9D533C" w14:textId="7F7900F6" w:rsidR="00AF136A" w:rsidRPr="00853DDA" w:rsidRDefault="00853DD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Kreditelőrehaladás</w:t>
            </w:r>
          </w:p>
        </w:tc>
        <w:tc>
          <w:tcPr>
            <w:tcW w:w="1536" w:type="dxa"/>
          </w:tcPr>
          <w:p w14:paraId="418EE828" w14:textId="77777777" w:rsidR="00AF136A" w:rsidRPr="00853DDA"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226D2BB0" w14:textId="77777777" w:rsidR="00AF136A" w:rsidRPr="00853DDA"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5131BAA8" w14:textId="77777777" w:rsidR="00AF136A" w:rsidRPr="00853DDA"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&lt;&lt;KITÖLTENDŐ&gt;&gt;</w:t>
            </w:r>
          </w:p>
        </w:tc>
      </w:tr>
      <w:tr w:rsidR="00853DDA" w:rsidRPr="002B0721" w14:paraId="0A0069C2" w14:textId="77777777" w:rsidTr="00853DDA">
        <w:tc>
          <w:tcPr>
            <w:cnfStyle w:val="001000000000" w:firstRow="0" w:lastRow="0" w:firstColumn="1" w:lastColumn="0" w:oddVBand="0" w:evenVBand="0" w:oddHBand="0" w:evenHBand="0" w:firstRowFirstColumn="0" w:firstRowLastColumn="0" w:lastRowFirstColumn="0" w:lastRowLastColumn="0"/>
            <w:tcW w:w="639" w:type="dxa"/>
          </w:tcPr>
          <w:p w14:paraId="57E96412" w14:textId="77777777" w:rsidR="00AF136A" w:rsidRPr="002B0721" w:rsidRDefault="00AF136A" w:rsidP="00D92C6C">
            <w:pPr>
              <w:rPr>
                <w:sz w:val="18"/>
                <w:szCs w:val="18"/>
              </w:rPr>
            </w:pPr>
            <w:r w:rsidRPr="002B0721">
              <w:rPr>
                <w:sz w:val="18"/>
                <w:szCs w:val="18"/>
              </w:rPr>
              <w:t>Opció 2</w:t>
            </w:r>
          </w:p>
        </w:tc>
        <w:tc>
          <w:tcPr>
            <w:tcW w:w="2273" w:type="dxa"/>
          </w:tcPr>
          <w:p w14:paraId="2FB0FE0D" w14:textId="42162846" w:rsidR="00AF136A" w:rsidRPr="00853DDA" w:rsidRDefault="00853DD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 xml:space="preserve">Oktatásszervezési reform: </w:t>
            </w:r>
            <w:proofErr w:type="spellStart"/>
            <w:r w:rsidRPr="00853DDA">
              <w:rPr>
                <w:sz w:val="18"/>
                <w:szCs w:val="18"/>
                <w:highlight w:val="yellow"/>
              </w:rPr>
              <w:t>blokkosítás</w:t>
            </w:r>
            <w:proofErr w:type="spellEnd"/>
            <w:r w:rsidRPr="00853DDA">
              <w:rPr>
                <w:sz w:val="18"/>
                <w:szCs w:val="18"/>
                <w:highlight w:val="yellow"/>
              </w:rPr>
              <w:t>, hibrid/</w:t>
            </w:r>
            <w:proofErr w:type="spellStart"/>
            <w:r w:rsidRPr="00853DDA">
              <w:rPr>
                <w:sz w:val="18"/>
                <w:szCs w:val="18"/>
                <w:highlight w:val="yellow"/>
              </w:rPr>
              <w:t>bleded</w:t>
            </w:r>
            <w:proofErr w:type="spellEnd"/>
            <w:r w:rsidRPr="00853DDA">
              <w:rPr>
                <w:sz w:val="18"/>
                <w:szCs w:val="18"/>
                <w:highlight w:val="yellow"/>
              </w:rPr>
              <w:t xml:space="preserve"> oktatás, „sávos”, ütközéscsökkentő órarend‑szabályok.</w:t>
            </w:r>
          </w:p>
        </w:tc>
        <w:tc>
          <w:tcPr>
            <w:tcW w:w="1542" w:type="dxa"/>
          </w:tcPr>
          <w:p w14:paraId="340F07B3" w14:textId="1EBEC9FF" w:rsidR="00AF136A" w:rsidRPr="00853DDA" w:rsidRDefault="00853DDA" w:rsidP="00853DD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Csúcsterhelési elégedettségi arány</w:t>
            </w:r>
            <w:r w:rsidRPr="00853DDA">
              <w:rPr>
                <w:sz w:val="18"/>
                <w:szCs w:val="18"/>
                <w:highlight w:val="yellow"/>
              </w:rPr>
              <w:t xml:space="preserve">; </w:t>
            </w:r>
            <w:r w:rsidRPr="00853DDA">
              <w:rPr>
                <w:sz w:val="18"/>
                <w:szCs w:val="18"/>
                <w:highlight w:val="yellow"/>
              </w:rPr>
              <w:t>Kreditelőrehaladás</w:t>
            </w:r>
            <w:r w:rsidRPr="00853DDA">
              <w:rPr>
                <w:sz w:val="18"/>
                <w:szCs w:val="18"/>
                <w:highlight w:val="yellow"/>
              </w:rPr>
              <w:t xml:space="preserve">; </w:t>
            </w:r>
            <w:r w:rsidRPr="00853DDA">
              <w:rPr>
                <w:sz w:val="18"/>
                <w:szCs w:val="18"/>
                <w:highlight w:val="yellow"/>
              </w:rPr>
              <w:t>Kritikus tantárgyak aránya</w:t>
            </w:r>
          </w:p>
        </w:tc>
        <w:tc>
          <w:tcPr>
            <w:tcW w:w="1536" w:type="dxa"/>
          </w:tcPr>
          <w:p w14:paraId="3FA722BD" w14:textId="77777777" w:rsidR="00AF136A" w:rsidRPr="00853DDA"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09EC75CB" w14:textId="77777777" w:rsidR="00AF136A" w:rsidRPr="00853DDA"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4F6FAB03" w14:textId="77777777" w:rsidR="00AF136A" w:rsidRPr="00853DDA"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&lt;&lt;KITÖLTENDŐ&gt;&gt;</w:t>
            </w:r>
          </w:p>
        </w:tc>
      </w:tr>
      <w:tr w:rsidR="00853DDA" w:rsidRPr="002B0721" w14:paraId="6183C307" w14:textId="77777777" w:rsidTr="00853D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dxa"/>
          </w:tcPr>
          <w:p w14:paraId="4CE5FEE2" w14:textId="77777777" w:rsidR="00AF136A" w:rsidRPr="002B0721" w:rsidRDefault="00AF136A" w:rsidP="00D92C6C">
            <w:pPr>
              <w:rPr>
                <w:sz w:val="18"/>
                <w:szCs w:val="18"/>
              </w:rPr>
            </w:pPr>
            <w:r w:rsidRPr="002B0721">
              <w:rPr>
                <w:sz w:val="18"/>
                <w:szCs w:val="18"/>
              </w:rPr>
              <w:t>Opció 3</w:t>
            </w:r>
          </w:p>
        </w:tc>
        <w:tc>
          <w:tcPr>
            <w:tcW w:w="2273" w:type="dxa"/>
          </w:tcPr>
          <w:p w14:paraId="2E7001EA" w14:textId="730D7421" w:rsidR="00AF136A" w:rsidRPr="00853DDA" w:rsidRDefault="00853DD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WIL/</w:t>
            </w:r>
            <w:proofErr w:type="spellStart"/>
            <w:r w:rsidRPr="00853DDA">
              <w:rPr>
                <w:sz w:val="18"/>
                <w:szCs w:val="18"/>
                <w:highlight w:val="yellow"/>
              </w:rPr>
              <w:t>mikrotanúsítvány</w:t>
            </w:r>
            <w:proofErr w:type="spellEnd"/>
            <w:r w:rsidRPr="00853DDA">
              <w:rPr>
                <w:sz w:val="18"/>
                <w:szCs w:val="18"/>
                <w:highlight w:val="yellow"/>
              </w:rPr>
              <w:noBreakHyphen/>
              <w:t>jellegű modulok: rugalmas, beszámítható elemek a dolgozó/heterogén hallgatóknak.</w:t>
            </w:r>
          </w:p>
        </w:tc>
        <w:tc>
          <w:tcPr>
            <w:tcW w:w="1542" w:type="dxa"/>
          </w:tcPr>
          <w:p w14:paraId="1A06315F" w14:textId="3193DEF9" w:rsidR="00AF136A" w:rsidRPr="00853DDA" w:rsidRDefault="00853DDA" w:rsidP="00853DD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Heti átlagos kontaktóraszám (mintatanterv alapján)</w:t>
            </w:r>
            <w:r w:rsidRPr="00853DDA">
              <w:rPr>
                <w:sz w:val="18"/>
                <w:szCs w:val="18"/>
                <w:highlight w:val="yellow"/>
              </w:rPr>
              <w:t xml:space="preserve">; </w:t>
            </w:r>
            <w:proofErr w:type="spellStart"/>
            <w:r w:rsidRPr="00853DDA">
              <w:rPr>
                <w:sz w:val="18"/>
                <w:szCs w:val="18"/>
                <w:highlight w:val="yellow"/>
              </w:rPr>
              <w:t>Blokkosítás</w:t>
            </w:r>
            <w:proofErr w:type="spellEnd"/>
          </w:p>
        </w:tc>
        <w:tc>
          <w:tcPr>
            <w:tcW w:w="1536" w:type="dxa"/>
          </w:tcPr>
          <w:p w14:paraId="7AA0C84C" w14:textId="77777777" w:rsidR="00AF136A" w:rsidRPr="00853DDA"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0531140F" w14:textId="77777777" w:rsidR="00AF136A" w:rsidRPr="00853DDA"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46DB2E15" w14:textId="77777777" w:rsidR="00AF136A" w:rsidRPr="00853DDA"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53DDA">
              <w:rPr>
                <w:sz w:val="18"/>
                <w:szCs w:val="18"/>
                <w:highlight w:val="yellow"/>
              </w:rPr>
              <w:t>&lt;&lt;KITÖLTENDŐ&gt;&gt;</w:t>
            </w:r>
          </w:p>
        </w:tc>
      </w:tr>
      <w:tr w:rsidR="00853DDA" w:rsidRPr="002B0721" w14:paraId="1097AEB5" w14:textId="77777777" w:rsidTr="00853DDA">
        <w:tc>
          <w:tcPr>
            <w:cnfStyle w:val="001000000000" w:firstRow="0" w:lastRow="0" w:firstColumn="1" w:lastColumn="0" w:oddVBand="0" w:evenVBand="0" w:oddHBand="0" w:evenHBand="0" w:firstRowFirstColumn="0" w:firstRowLastColumn="0" w:lastRowFirstColumn="0" w:lastRowLastColumn="0"/>
            <w:tcW w:w="639" w:type="dxa"/>
          </w:tcPr>
          <w:p w14:paraId="7A8B1875" w14:textId="27AF5DD4" w:rsidR="00853DDA" w:rsidRPr="002B0721" w:rsidRDefault="00853DDA" w:rsidP="00853DDA">
            <w:pPr>
              <w:rPr>
                <w:sz w:val="18"/>
                <w:szCs w:val="18"/>
              </w:rPr>
            </w:pPr>
            <w:r w:rsidRPr="002B0721">
              <w:rPr>
                <w:sz w:val="18"/>
                <w:szCs w:val="18"/>
              </w:rPr>
              <w:t xml:space="preserve">Opció </w:t>
            </w:r>
            <w:r>
              <w:rPr>
                <w:sz w:val="18"/>
                <w:szCs w:val="18"/>
              </w:rPr>
              <w:t>4</w:t>
            </w:r>
          </w:p>
        </w:tc>
        <w:tc>
          <w:tcPr>
            <w:tcW w:w="2273" w:type="dxa"/>
          </w:tcPr>
          <w:p w14:paraId="453637CA" w14:textId="16407DE9" w:rsidR="00853DDA" w:rsidRPr="00853DDA" w:rsidRDefault="00853DDA" w:rsidP="00853DD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w:t>
            </w:r>
            <w:proofErr w:type="spellStart"/>
            <w:r w:rsidRPr="00853DDA">
              <w:rPr>
                <w:sz w:val="18"/>
                <w:szCs w:val="18"/>
                <w:highlight w:val="yellow"/>
              </w:rPr>
              <w:t>Bottleneck</w:t>
            </w:r>
            <w:proofErr w:type="spellEnd"/>
            <w:r w:rsidRPr="00853DDA">
              <w:rPr>
                <w:sz w:val="18"/>
                <w:szCs w:val="18"/>
                <w:highlight w:val="yellow"/>
              </w:rPr>
              <w:t xml:space="preserve"> tárgy” program: célzott tantárgy-</w:t>
            </w:r>
            <w:proofErr w:type="spellStart"/>
            <w:r w:rsidRPr="00853DDA">
              <w:rPr>
                <w:sz w:val="18"/>
                <w:szCs w:val="18"/>
                <w:highlight w:val="yellow"/>
              </w:rPr>
              <w:t>újratervezés</w:t>
            </w:r>
            <w:proofErr w:type="spellEnd"/>
            <w:r w:rsidRPr="00853DDA">
              <w:rPr>
                <w:sz w:val="18"/>
                <w:szCs w:val="18"/>
                <w:highlight w:val="yellow"/>
              </w:rPr>
              <w:t xml:space="preserve"> + értékelési reform + kiegészítő támogatás.</w:t>
            </w:r>
          </w:p>
        </w:tc>
        <w:tc>
          <w:tcPr>
            <w:tcW w:w="1542" w:type="dxa"/>
          </w:tcPr>
          <w:p w14:paraId="4C0720D1" w14:textId="01B2B54B" w:rsidR="00853DDA" w:rsidRPr="00853DDA" w:rsidRDefault="00853DDA" w:rsidP="00853DD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Tantárgyszám</w:t>
            </w:r>
            <w:r w:rsidRPr="00853DDA">
              <w:rPr>
                <w:sz w:val="18"/>
                <w:szCs w:val="18"/>
                <w:highlight w:val="yellow"/>
              </w:rPr>
              <w:t>;</w:t>
            </w:r>
            <w:r w:rsidRPr="00853DDA">
              <w:rPr>
                <w:szCs w:val="18"/>
                <w:highlight w:val="yellow"/>
              </w:rPr>
              <w:t xml:space="preserve"> </w:t>
            </w:r>
            <w:r w:rsidRPr="00853DDA">
              <w:rPr>
                <w:sz w:val="18"/>
                <w:szCs w:val="18"/>
                <w:highlight w:val="yellow"/>
              </w:rPr>
              <w:t>Kreditelőrehaladás</w:t>
            </w:r>
            <w:r w:rsidRPr="00853DDA">
              <w:rPr>
                <w:sz w:val="18"/>
                <w:szCs w:val="18"/>
                <w:highlight w:val="yellow"/>
              </w:rPr>
              <w:t xml:space="preserve">; </w:t>
            </w:r>
            <w:r w:rsidRPr="00853DDA">
              <w:rPr>
                <w:sz w:val="18"/>
                <w:szCs w:val="18"/>
                <w:highlight w:val="yellow"/>
              </w:rPr>
              <w:t>Kritikus tantárgyak aránya</w:t>
            </w:r>
            <w:r w:rsidRPr="00853DDA">
              <w:rPr>
                <w:sz w:val="18"/>
                <w:szCs w:val="18"/>
                <w:highlight w:val="yellow"/>
              </w:rPr>
              <w:t xml:space="preserve"> </w:t>
            </w:r>
          </w:p>
        </w:tc>
        <w:tc>
          <w:tcPr>
            <w:tcW w:w="1536" w:type="dxa"/>
          </w:tcPr>
          <w:p w14:paraId="4882C2FF" w14:textId="44C8AA0F" w:rsidR="00853DDA" w:rsidRPr="00853DDA" w:rsidRDefault="00853DDA" w:rsidP="00853DD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5B7F9F01" w14:textId="6130ED7E" w:rsidR="00853DDA" w:rsidRPr="00853DDA" w:rsidRDefault="00853DDA" w:rsidP="00853DD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&lt;&lt;KITÖLTENDŐ&gt;&gt;</w:t>
            </w:r>
          </w:p>
        </w:tc>
        <w:tc>
          <w:tcPr>
            <w:tcW w:w="1536" w:type="dxa"/>
          </w:tcPr>
          <w:p w14:paraId="4A03D88E" w14:textId="2D13F821" w:rsidR="00853DDA" w:rsidRPr="00853DDA" w:rsidRDefault="00853DDA" w:rsidP="00853DD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53DDA">
              <w:rPr>
                <w:sz w:val="18"/>
                <w:szCs w:val="18"/>
                <w:highlight w:val="yellow"/>
              </w:rPr>
              <w:t>&lt;&lt;KITÖLTENDŐ&gt;&gt;</w:t>
            </w:r>
          </w:p>
        </w:tc>
      </w:tr>
    </w:tbl>
    <w:p w14:paraId="16DDD6DC" w14:textId="77777777" w:rsidR="00AF136A" w:rsidRPr="002B0721" w:rsidRDefault="00AF136A" w:rsidP="00AF136A">
      <w:pPr>
        <w:pStyle w:val="Heading3"/>
      </w:pPr>
      <w:r w:rsidRPr="002B0721">
        <w:t>F) Kockázatok és kezelések</w:t>
      </w:r>
    </w:p>
    <w:p w14:paraId="57887E4D"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kockázat&gt;&gt;</w:t>
      </w:r>
    </w:p>
    <w:p w14:paraId="2A623BA5" w14:textId="77777777" w:rsidR="00AF136A" w:rsidRPr="002B0721" w:rsidRDefault="00AF136A" w:rsidP="00AF136A">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AF136A" w:rsidRPr="002B0721" w14:paraId="3B639E4D"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15970375" w14:textId="77777777" w:rsidR="00AF136A" w:rsidRPr="002B0721" w:rsidRDefault="00AF136A" w:rsidP="00D92C6C">
            <w:pPr>
              <w:jc w:val="center"/>
              <w:rPr>
                <w:sz w:val="18"/>
                <w:szCs w:val="18"/>
              </w:rPr>
            </w:pPr>
            <w:r w:rsidRPr="002B0721">
              <w:rPr>
                <w:sz w:val="18"/>
                <w:szCs w:val="18"/>
              </w:rPr>
              <w:t>Állítás / megállapítás</w:t>
            </w:r>
          </w:p>
        </w:tc>
        <w:tc>
          <w:tcPr>
            <w:tcW w:w="2191" w:type="dxa"/>
          </w:tcPr>
          <w:p w14:paraId="5D6C632A"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típusa</w:t>
            </w:r>
          </w:p>
        </w:tc>
        <w:tc>
          <w:tcPr>
            <w:tcW w:w="2392" w:type="dxa"/>
          </w:tcPr>
          <w:p w14:paraId="22251CEC"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Hivatkozás (ábra/táblázat/melléklet)</w:t>
            </w:r>
          </w:p>
        </w:tc>
        <w:tc>
          <w:tcPr>
            <w:tcW w:w="2171" w:type="dxa"/>
          </w:tcPr>
          <w:p w14:paraId="04D35B56"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F136A" w:rsidRPr="002B0721" w14:paraId="3E607464"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77BCC251" w14:textId="77777777" w:rsidR="00AF136A" w:rsidRPr="002B0721" w:rsidRDefault="00AF136A" w:rsidP="00D92C6C">
            <w:pPr>
              <w:rPr>
                <w:sz w:val="18"/>
                <w:szCs w:val="18"/>
              </w:rPr>
            </w:pPr>
            <w:r w:rsidRPr="002B0721">
              <w:rPr>
                <w:sz w:val="18"/>
                <w:szCs w:val="18"/>
              </w:rPr>
              <w:t>&lt;&lt;KITÖLTENDŐ&gt;&gt;</w:t>
            </w:r>
          </w:p>
        </w:tc>
        <w:tc>
          <w:tcPr>
            <w:tcW w:w="2191" w:type="dxa"/>
          </w:tcPr>
          <w:p w14:paraId="1F778F2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8BC344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772E182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2FF4B0EA"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155E0868" w14:textId="77777777" w:rsidR="00AF136A" w:rsidRPr="002B0721" w:rsidRDefault="00AF136A" w:rsidP="00D92C6C">
            <w:pPr>
              <w:rPr>
                <w:sz w:val="18"/>
                <w:szCs w:val="18"/>
              </w:rPr>
            </w:pPr>
            <w:r w:rsidRPr="002B0721">
              <w:rPr>
                <w:sz w:val="18"/>
                <w:szCs w:val="18"/>
              </w:rPr>
              <w:t>&lt;&lt;KITÖLTENDŐ&gt;&gt;</w:t>
            </w:r>
          </w:p>
        </w:tc>
        <w:tc>
          <w:tcPr>
            <w:tcW w:w="2191" w:type="dxa"/>
          </w:tcPr>
          <w:p w14:paraId="53753CB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53A74ED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4893CF7"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79C5C5FF"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5933CB09" w14:textId="77777777" w:rsidR="00AF136A" w:rsidRPr="002B0721" w:rsidRDefault="00AF136A" w:rsidP="00D92C6C">
            <w:pPr>
              <w:rPr>
                <w:sz w:val="18"/>
                <w:szCs w:val="18"/>
              </w:rPr>
            </w:pPr>
            <w:r w:rsidRPr="002B0721">
              <w:rPr>
                <w:sz w:val="18"/>
                <w:szCs w:val="18"/>
              </w:rPr>
              <w:t>&lt;&lt;KITÖLTENDŐ&gt;&gt;</w:t>
            </w:r>
          </w:p>
        </w:tc>
        <w:tc>
          <w:tcPr>
            <w:tcW w:w="2191" w:type="dxa"/>
          </w:tcPr>
          <w:p w14:paraId="330103C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8FB4F53"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6C1EEF0D"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5696D099"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3349C6A4" w14:textId="77777777" w:rsidR="00AF136A" w:rsidRPr="002B0721" w:rsidRDefault="00AF136A" w:rsidP="00D92C6C">
            <w:pPr>
              <w:rPr>
                <w:sz w:val="18"/>
                <w:szCs w:val="18"/>
              </w:rPr>
            </w:pPr>
            <w:r w:rsidRPr="002B0721">
              <w:rPr>
                <w:sz w:val="18"/>
                <w:szCs w:val="18"/>
              </w:rPr>
              <w:t>&lt;&lt;KITÖLTENDŐ&gt;&gt;</w:t>
            </w:r>
          </w:p>
        </w:tc>
        <w:tc>
          <w:tcPr>
            <w:tcW w:w="2191" w:type="dxa"/>
          </w:tcPr>
          <w:p w14:paraId="305656E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7B51714D"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7E748171"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07F0C920"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72CD63DB" w14:textId="77777777" w:rsidR="00AF136A" w:rsidRPr="002B0721" w:rsidRDefault="00AF136A" w:rsidP="00D92C6C">
            <w:pPr>
              <w:rPr>
                <w:sz w:val="18"/>
                <w:szCs w:val="18"/>
              </w:rPr>
            </w:pPr>
            <w:r w:rsidRPr="002B0721">
              <w:rPr>
                <w:sz w:val="18"/>
                <w:szCs w:val="18"/>
              </w:rPr>
              <w:t>&lt;&lt;KITÖLTENDŐ&gt;&gt;</w:t>
            </w:r>
          </w:p>
        </w:tc>
        <w:tc>
          <w:tcPr>
            <w:tcW w:w="2191" w:type="dxa"/>
          </w:tcPr>
          <w:p w14:paraId="4C7CC67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9D5968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41FC525E"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4774BB54"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3B609675" w14:textId="77777777" w:rsidR="00AF136A" w:rsidRPr="002B0721" w:rsidRDefault="00AF136A" w:rsidP="00D92C6C">
            <w:pPr>
              <w:rPr>
                <w:sz w:val="18"/>
                <w:szCs w:val="18"/>
              </w:rPr>
            </w:pPr>
            <w:r w:rsidRPr="002B0721">
              <w:rPr>
                <w:sz w:val="18"/>
                <w:szCs w:val="18"/>
              </w:rPr>
              <w:t>&lt;&lt;KITÖLTENDŐ&gt;&gt;</w:t>
            </w:r>
          </w:p>
        </w:tc>
        <w:tc>
          <w:tcPr>
            <w:tcW w:w="2191" w:type="dxa"/>
          </w:tcPr>
          <w:p w14:paraId="0378EB7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50ECCE8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7BAE1C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bl>
    <w:p w14:paraId="64436127" w14:textId="77777777" w:rsidR="00AF136A" w:rsidRPr="002B0721" w:rsidRDefault="00AF136A" w:rsidP="00AF136A">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AF136A" w:rsidRPr="002B0721" w14:paraId="56A6F5D8"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07F2F4A1" w14:textId="77777777" w:rsidR="00AF136A" w:rsidRPr="002B0721" w:rsidRDefault="00AF136A" w:rsidP="00D92C6C">
            <w:pPr>
              <w:rPr>
                <w:sz w:val="18"/>
                <w:szCs w:val="18"/>
              </w:rPr>
            </w:pPr>
            <w:r w:rsidRPr="002B0721">
              <w:rPr>
                <w:sz w:val="18"/>
                <w:szCs w:val="18"/>
              </w:rPr>
              <w:t>ESG standard(ok)</w:t>
            </w:r>
          </w:p>
        </w:tc>
        <w:tc>
          <w:tcPr>
            <w:tcW w:w="3034" w:type="dxa"/>
          </w:tcPr>
          <w:p w14:paraId="0E9F87B4"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Hogyan kapcsolódik a pillérhez?</w:t>
            </w:r>
          </w:p>
        </w:tc>
        <w:tc>
          <w:tcPr>
            <w:tcW w:w="3068" w:type="dxa"/>
          </w:tcPr>
          <w:p w14:paraId="1925B53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(fejezet/ábra/táblázat)</w:t>
            </w:r>
          </w:p>
        </w:tc>
      </w:tr>
      <w:tr w:rsidR="00AF136A" w:rsidRPr="002B0721" w14:paraId="49370FCD"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E325601" w14:textId="77777777" w:rsidR="00AF136A" w:rsidRPr="002B0721" w:rsidRDefault="00AF136A" w:rsidP="00D92C6C">
            <w:pPr>
              <w:rPr>
                <w:sz w:val="18"/>
                <w:szCs w:val="18"/>
              </w:rPr>
            </w:pPr>
            <w:r w:rsidRPr="002B0721">
              <w:rPr>
                <w:sz w:val="18"/>
                <w:szCs w:val="18"/>
              </w:rPr>
              <w:t xml:space="preserve">1.2, </w:t>
            </w:r>
          </w:p>
        </w:tc>
        <w:tc>
          <w:tcPr>
            <w:tcW w:w="3034" w:type="dxa"/>
          </w:tcPr>
          <w:p w14:paraId="4C1A4BD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27DC4B0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2EB1F770"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60661785" w14:textId="77777777" w:rsidR="00AF136A" w:rsidRPr="002B0721" w:rsidRDefault="00AF136A" w:rsidP="00D92C6C">
            <w:pPr>
              <w:rPr>
                <w:sz w:val="18"/>
                <w:szCs w:val="18"/>
              </w:rPr>
            </w:pPr>
            <w:r w:rsidRPr="002B0721">
              <w:rPr>
                <w:sz w:val="18"/>
                <w:szCs w:val="18"/>
              </w:rPr>
              <w:t>1.3</w:t>
            </w:r>
          </w:p>
        </w:tc>
        <w:tc>
          <w:tcPr>
            <w:tcW w:w="3034" w:type="dxa"/>
          </w:tcPr>
          <w:p w14:paraId="47A1204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0B614C1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75D65126"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7C6E43AC" w14:textId="77777777" w:rsidR="00AF136A" w:rsidRPr="002B0721" w:rsidRDefault="00AF136A" w:rsidP="00D92C6C">
            <w:pPr>
              <w:rPr>
                <w:sz w:val="18"/>
                <w:szCs w:val="18"/>
              </w:rPr>
            </w:pPr>
            <w:r w:rsidRPr="002B0721">
              <w:rPr>
                <w:sz w:val="18"/>
                <w:szCs w:val="18"/>
              </w:rPr>
              <w:t>1.4</w:t>
            </w:r>
          </w:p>
        </w:tc>
        <w:tc>
          <w:tcPr>
            <w:tcW w:w="3034" w:type="dxa"/>
          </w:tcPr>
          <w:p w14:paraId="2D27225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515CF2A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0EE724CF"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39F42680" w14:textId="77777777" w:rsidR="00AF136A" w:rsidRPr="002B0721" w:rsidRDefault="00AF136A" w:rsidP="00D92C6C">
            <w:pPr>
              <w:rPr>
                <w:sz w:val="18"/>
                <w:szCs w:val="18"/>
              </w:rPr>
            </w:pPr>
            <w:r w:rsidRPr="002B0721">
              <w:rPr>
                <w:sz w:val="18"/>
                <w:szCs w:val="18"/>
              </w:rPr>
              <w:t>1.6</w:t>
            </w:r>
          </w:p>
        </w:tc>
        <w:tc>
          <w:tcPr>
            <w:tcW w:w="3034" w:type="dxa"/>
          </w:tcPr>
          <w:p w14:paraId="6675D48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51679C61"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10BCA30A"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47BDE6F" w14:textId="77777777" w:rsidR="00AF136A" w:rsidRPr="002B0721" w:rsidRDefault="00AF136A" w:rsidP="00D92C6C">
            <w:pPr>
              <w:rPr>
                <w:sz w:val="18"/>
                <w:szCs w:val="18"/>
              </w:rPr>
            </w:pPr>
            <w:r w:rsidRPr="002B0721">
              <w:rPr>
                <w:sz w:val="18"/>
                <w:szCs w:val="18"/>
              </w:rPr>
              <w:t>1.7</w:t>
            </w:r>
          </w:p>
        </w:tc>
        <w:tc>
          <w:tcPr>
            <w:tcW w:w="3034" w:type="dxa"/>
          </w:tcPr>
          <w:p w14:paraId="2F111BD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3E6701C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05447160"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2FC76564" w14:textId="77777777" w:rsidR="00AF136A" w:rsidRPr="002B0721" w:rsidRDefault="00AF136A" w:rsidP="00D92C6C">
            <w:pPr>
              <w:rPr>
                <w:sz w:val="18"/>
                <w:szCs w:val="18"/>
              </w:rPr>
            </w:pPr>
            <w:r w:rsidRPr="002B0721">
              <w:rPr>
                <w:sz w:val="18"/>
                <w:szCs w:val="18"/>
              </w:rPr>
              <w:t>1.9</w:t>
            </w:r>
          </w:p>
        </w:tc>
        <w:tc>
          <w:tcPr>
            <w:tcW w:w="3034" w:type="dxa"/>
          </w:tcPr>
          <w:p w14:paraId="0F896DF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264D79C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2DBE3350" w14:textId="77777777" w:rsidR="00AF136A" w:rsidRPr="002B0721" w:rsidRDefault="00AF136A" w:rsidP="00AF136A"/>
    <w:p w14:paraId="74C349D1" w14:textId="77777777" w:rsidR="00AF136A" w:rsidRPr="002B0721" w:rsidRDefault="00AF136A">
      <w:pPr>
        <w:spacing w:after="160" w:line="259" w:lineRule="auto"/>
        <w:jc w:val="left"/>
      </w:pPr>
      <w:r w:rsidRPr="002B0721">
        <w:br w:type="page"/>
      </w:r>
    </w:p>
    <w:p w14:paraId="02F3DB41" w14:textId="77777777" w:rsidR="00AF136A" w:rsidRPr="002B0721" w:rsidRDefault="00AF136A" w:rsidP="00AF136A">
      <w:pPr>
        <w:pStyle w:val="Heading2"/>
      </w:pPr>
      <w:r w:rsidRPr="002B0721">
        <w:t xml:space="preserve">6. pillér - </w:t>
      </w:r>
      <w:proofErr w:type="spellStart"/>
      <w:r w:rsidRPr="002B0721">
        <w:t>Nemzetköziesítés</w:t>
      </w:r>
      <w:proofErr w:type="spellEnd"/>
      <w:r w:rsidRPr="002B0721">
        <w:t xml:space="preserve"> és mobilitás</w:t>
      </w:r>
    </w:p>
    <w:p w14:paraId="1FE24763" w14:textId="77777777" w:rsidR="00005E43" w:rsidRDefault="00032A4C">
      <w:pPr>
        <w:pStyle w:val="Infobox"/>
      </w:pPr>
      <w:r>
        <w:t xml:space="preserve">INFOBOX: Ez a pillér azt vizsgálja, mennyire nemzetközileg nyitott, látható és mobilitásbarát a program. Térjen ki az idegen nyelvű kurzuskínálatra, a </w:t>
      </w:r>
      <w:r w:rsidR="00005E43">
        <w:t>nemzetközi</w:t>
      </w:r>
      <w:r>
        <w:t xml:space="preserve"> hallgatók helyzetére</w:t>
      </w:r>
      <w:r w:rsidR="00005E43">
        <w:t xml:space="preserve"> (ha a képzésben nemzetközi hallgatói is részt vesznek)</w:t>
      </w:r>
      <w:r>
        <w:t xml:space="preserve">, a ki- és bejövő mobilitási adatokra, valamint a kreditelismerés és támogatás működésére. Fontos bemutatni, hogy a program milyen akadályokat gördít vagy bont le a </w:t>
      </w:r>
      <w:proofErr w:type="spellStart"/>
      <w:r>
        <w:t>nemzetköziesítés</w:t>
      </w:r>
      <w:proofErr w:type="spellEnd"/>
      <w:r>
        <w:t xml:space="preserve"> előtt, és mely partnerek, formák vagy szervezési megoldások erősíthetik ezt a dimenziót. A fejezet segít eldönteni, hogy a </w:t>
      </w:r>
      <w:proofErr w:type="spellStart"/>
      <w:r>
        <w:t>nemzetköziesítés</w:t>
      </w:r>
      <w:proofErr w:type="spellEnd"/>
      <w:r>
        <w:t xml:space="preserve"> a programban jelenleg kiegészítő elem vagy valódi stratégiai erősség. </w:t>
      </w:r>
    </w:p>
    <w:p w14:paraId="602EF7B2" w14:textId="5C6B6A85" w:rsidR="00DA0DBC" w:rsidRDefault="00032A4C">
      <w:pPr>
        <w:pStyle w:val="Infobox"/>
      </w:pPr>
      <w:r>
        <w:t>Kapcsolódó ESG: 1.4 A hallgatók felvétele, előrehaladása, tanulmányaik elismerése és a képesítés odaítélése, 1.6 Tanulástámogatás és hallgatói szolgáltatások, 1.8 Nyilvános információk, 1.9 A képzési programok folyamatos figyelemmel kísérése és rendszeres értékelése.</w:t>
      </w:r>
    </w:p>
    <w:p w14:paraId="282E95A3" w14:textId="77777777" w:rsidR="00AF136A" w:rsidRPr="002B0721" w:rsidRDefault="00AF136A" w:rsidP="00AF136A">
      <w:pPr>
        <w:pStyle w:val="Heading3"/>
      </w:pPr>
      <w:r w:rsidRPr="002B0721">
        <w:t>A) Cél és kulcskérdések</w:t>
      </w:r>
    </w:p>
    <w:p w14:paraId="1E2F6595"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kérdés&gt;&gt;</w:t>
      </w:r>
    </w:p>
    <w:p w14:paraId="19BFB0FD" w14:textId="77777777" w:rsidR="007B73D6" w:rsidRPr="007B73D6" w:rsidRDefault="007B73D6" w:rsidP="007B73D6">
      <w:pPr>
        <w:pStyle w:val="ListParagraph"/>
        <w:numPr>
          <w:ilvl w:val="0"/>
          <w:numId w:val="3"/>
        </w:numPr>
        <w:rPr>
          <w:highlight w:val="yellow"/>
        </w:rPr>
      </w:pPr>
      <w:r w:rsidRPr="007B73D6">
        <w:rPr>
          <w:highlight w:val="yellow"/>
        </w:rPr>
        <w:t>Van-e elég idegen nyelvű kurzuskínálat (és kiszámítható-e félévről félévre)?</w:t>
      </w:r>
    </w:p>
    <w:p w14:paraId="69F59866" w14:textId="77777777" w:rsidR="007B73D6" w:rsidRPr="007B73D6" w:rsidRDefault="007B73D6" w:rsidP="007B73D6">
      <w:pPr>
        <w:pStyle w:val="ListParagraph"/>
        <w:numPr>
          <w:ilvl w:val="0"/>
          <w:numId w:val="3"/>
        </w:numPr>
        <w:rPr>
          <w:highlight w:val="yellow"/>
        </w:rPr>
      </w:pPr>
      <w:r w:rsidRPr="007B73D6">
        <w:rPr>
          <w:highlight w:val="yellow"/>
        </w:rPr>
        <w:t>Hogyan alakul a ki- és bejövő mobilitás (trend, szegmensek, okok, akadályok)?</w:t>
      </w:r>
    </w:p>
    <w:p w14:paraId="0DE46DA1" w14:textId="77777777" w:rsidR="007B73D6" w:rsidRPr="007B73D6" w:rsidRDefault="007B73D6" w:rsidP="007B73D6">
      <w:pPr>
        <w:pStyle w:val="ListParagraph"/>
        <w:numPr>
          <w:ilvl w:val="0"/>
          <w:numId w:val="3"/>
        </w:numPr>
        <w:rPr>
          <w:highlight w:val="yellow"/>
        </w:rPr>
      </w:pPr>
      <w:r w:rsidRPr="007B73D6">
        <w:rPr>
          <w:highlight w:val="yellow"/>
        </w:rPr>
        <w:t>Működik-e a kreditelismerés gyorsan és transzparensen? (átfutási idők, elutasítási okok, tipikus „szűk keresztmetszetek”)</w:t>
      </w:r>
    </w:p>
    <w:p w14:paraId="0F4E7489" w14:textId="77777777" w:rsidR="007B73D6" w:rsidRPr="007B73D6" w:rsidRDefault="007B73D6" w:rsidP="007B73D6">
      <w:pPr>
        <w:pStyle w:val="ListParagraph"/>
        <w:numPr>
          <w:ilvl w:val="0"/>
          <w:numId w:val="3"/>
        </w:numPr>
        <w:rPr>
          <w:highlight w:val="yellow"/>
        </w:rPr>
      </w:pPr>
      <w:r w:rsidRPr="007B73D6">
        <w:rPr>
          <w:highlight w:val="yellow"/>
        </w:rPr>
        <w:t xml:space="preserve">A program lebontja vagy termeli a mobilitási akadályokat? (mobilitási ablak hiánya, ütközések, előfeltételi </w:t>
      </w:r>
      <w:proofErr w:type="spellStart"/>
      <w:r w:rsidRPr="007B73D6">
        <w:rPr>
          <w:highlight w:val="yellow"/>
        </w:rPr>
        <w:t>rigiditás</w:t>
      </w:r>
      <w:proofErr w:type="spellEnd"/>
      <w:r w:rsidRPr="007B73D6">
        <w:rPr>
          <w:highlight w:val="yellow"/>
        </w:rPr>
        <w:t>)</w:t>
      </w:r>
    </w:p>
    <w:p w14:paraId="53619CA2" w14:textId="4324B5DC" w:rsidR="007B73D6" w:rsidRPr="007B73D6" w:rsidRDefault="007B73D6" w:rsidP="007B73D6">
      <w:pPr>
        <w:pStyle w:val="ListParagraph"/>
        <w:numPr>
          <w:ilvl w:val="0"/>
          <w:numId w:val="3"/>
        </w:numPr>
        <w:rPr>
          <w:highlight w:val="yellow"/>
        </w:rPr>
      </w:pPr>
      <w:r w:rsidRPr="007B73D6">
        <w:rPr>
          <w:highlight w:val="yellow"/>
        </w:rPr>
        <w:t>Nemzetközi hallgatók esetén: támogatás, integráció, tanulási út mennyire működik?</w:t>
      </w:r>
    </w:p>
    <w:p w14:paraId="3A3DEF7A" w14:textId="7F935CF2" w:rsidR="00AF136A" w:rsidRPr="002B0721" w:rsidRDefault="00AF136A" w:rsidP="00AF136A">
      <w:pPr>
        <w:pStyle w:val="ListParagraph"/>
        <w:numPr>
          <w:ilvl w:val="0"/>
          <w:numId w:val="3"/>
        </w:numPr>
      </w:pPr>
      <w:r w:rsidRPr="002B0721">
        <w:t>&lt;&lt;KITÖLTENDŐ&gt;&gt;</w:t>
      </w:r>
    </w:p>
    <w:p w14:paraId="7518DD2E" w14:textId="77777777" w:rsidR="00AF136A" w:rsidRPr="002B0721" w:rsidRDefault="00AF136A" w:rsidP="00AF136A">
      <w:pPr>
        <w:pStyle w:val="Heading3"/>
      </w:pPr>
      <w:r w:rsidRPr="002B0721">
        <w:t>B) KPI-ok / mutatók</w:t>
      </w:r>
    </w:p>
    <w:p w14:paraId="55EA20F3" w14:textId="77777777" w:rsidR="00AF136A" w:rsidRPr="002B0721" w:rsidRDefault="00AF136A" w:rsidP="00AF136A">
      <w:r w:rsidRPr="002B0721">
        <w:t>KPI / mutató tábla (trend + benchmark)</w:t>
      </w:r>
    </w:p>
    <w:tbl>
      <w:tblPr>
        <w:tblStyle w:val="GridTable5Dark-Accent1"/>
        <w:tblW w:w="0" w:type="auto"/>
        <w:tblLook w:val="04A0" w:firstRow="1" w:lastRow="0" w:firstColumn="1" w:lastColumn="0" w:noHBand="0" w:noVBand="1"/>
      </w:tblPr>
      <w:tblGrid>
        <w:gridCol w:w="1150"/>
        <w:gridCol w:w="1194"/>
        <w:gridCol w:w="1371"/>
        <w:gridCol w:w="1114"/>
        <w:gridCol w:w="1114"/>
        <w:gridCol w:w="1114"/>
        <w:gridCol w:w="1114"/>
        <w:gridCol w:w="891"/>
      </w:tblGrid>
      <w:tr w:rsidR="00AF136A" w:rsidRPr="002B0721" w14:paraId="6CE44FEE"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11FEF235" w14:textId="77777777" w:rsidR="00AF136A" w:rsidRPr="002B0721" w:rsidRDefault="00AF136A" w:rsidP="00D92C6C">
            <w:pPr>
              <w:rPr>
                <w:sz w:val="18"/>
                <w:szCs w:val="18"/>
              </w:rPr>
            </w:pPr>
            <w:r w:rsidRPr="002B0721">
              <w:rPr>
                <w:sz w:val="18"/>
                <w:szCs w:val="18"/>
              </w:rPr>
              <w:t>Mutató neve</w:t>
            </w:r>
          </w:p>
        </w:tc>
        <w:tc>
          <w:tcPr>
            <w:tcW w:w="1218" w:type="dxa"/>
          </w:tcPr>
          <w:p w14:paraId="7C9E8C41"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Definíció t</w:t>
            </w:r>
          </w:p>
        </w:tc>
        <w:tc>
          <w:tcPr>
            <w:tcW w:w="1218" w:type="dxa"/>
          </w:tcPr>
          <w:p w14:paraId="697791D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Adatforrás</w:t>
            </w:r>
          </w:p>
        </w:tc>
        <w:tc>
          <w:tcPr>
            <w:tcW w:w="1218" w:type="dxa"/>
          </w:tcPr>
          <w:p w14:paraId="2B240662"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218" w:type="dxa"/>
          </w:tcPr>
          <w:p w14:paraId="2015A66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1218" w:type="dxa"/>
          </w:tcPr>
          <w:p w14:paraId="799EB914"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Bázisérték</w:t>
            </w:r>
          </w:p>
        </w:tc>
        <w:tc>
          <w:tcPr>
            <w:tcW w:w="1218" w:type="dxa"/>
          </w:tcPr>
          <w:p w14:paraId="592F1C6A"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Célérték</w:t>
            </w:r>
          </w:p>
        </w:tc>
        <w:tc>
          <w:tcPr>
            <w:tcW w:w="1218" w:type="dxa"/>
          </w:tcPr>
          <w:p w14:paraId="7F61FAED"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F136A" w:rsidRPr="002B0721" w14:paraId="14B7C463"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DDB44CA" w14:textId="58DC51A7" w:rsidR="00AF136A" w:rsidRPr="00DB3788" w:rsidRDefault="00CA678C" w:rsidP="00D92C6C">
            <w:pPr>
              <w:rPr>
                <w:sz w:val="18"/>
                <w:szCs w:val="18"/>
                <w:highlight w:val="yellow"/>
              </w:rPr>
            </w:pPr>
            <w:r w:rsidRPr="00DB3788">
              <w:rPr>
                <w:sz w:val="18"/>
                <w:szCs w:val="18"/>
                <w:highlight w:val="yellow"/>
              </w:rPr>
              <w:t>Mobilitási programban résztvevők</w:t>
            </w:r>
          </w:p>
        </w:tc>
        <w:tc>
          <w:tcPr>
            <w:tcW w:w="1218" w:type="dxa"/>
          </w:tcPr>
          <w:p w14:paraId="2FEABF71" w14:textId="15E25F96" w:rsidR="00AF136A" w:rsidRPr="00032A4C" w:rsidRDefault="00CA678C"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Szak hallgatói milyen arányban vettek részt mobilitási programban</w:t>
            </w:r>
          </w:p>
        </w:tc>
        <w:tc>
          <w:tcPr>
            <w:tcW w:w="1218" w:type="dxa"/>
          </w:tcPr>
          <w:p w14:paraId="5BBF2585" w14:textId="79641390" w:rsidR="00AF136A" w:rsidRPr="00032A4C" w:rsidRDefault="00CA678C"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FIR OSAP (oktatási dékánhelyettestől elkérhető)</w:t>
            </w:r>
          </w:p>
        </w:tc>
        <w:tc>
          <w:tcPr>
            <w:tcW w:w="1218" w:type="dxa"/>
          </w:tcPr>
          <w:p w14:paraId="4F0F467E" w14:textId="6B1CD090" w:rsidR="00AF136A" w:rsidRPr="00032A4C" w:rsidRDefault="00CA678C"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2020-2025</w:t>
            </w:r>
          </w:p>
        </w:tc>
        <w:tc>
          <w:tcPr>
            <w:tcW w:w="1218" w:type="dxa"/>
          </w:tcPr>
          <w:p w14:paraId="18102E30" w14:textId="0029CBA0" w:rsidR="00AF136A" w:rsidRPr="00032A4C" w:rsidRDefault="000C37F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w:t>
            </w:r>
          </w:p>
        </w:tc>
        <w:tc>
          <w:tcPr>
            <w:tcW w:w="1218" w:type="dxa"/>
          </w:tcPr>
          <w:p w14:paraId="3FC895D2"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D285D7A"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096D009"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AF136A" w:rsidRPr="002B0721" w14:paraId="3FCA1DA2"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68F5B8A5" w14:textId="44778604" w:rsidR="00AF136A" w:rsidRPr="00DB3788" w:rsidRDefault="00CA678C" w:rsidP="00D92C6C">
            <w:pPr>
              <w:rPr>
                <w:sz w:val="18"/>
                <w:szCs w:val="18"/>
                <w:highlight w:val="yellow"/>
              </w:rPr>
            </w:pPr>
            <w:r w:rsidRPr="00DB3788">
              <w:rPr>
                <w:sz w:val="18"/>
                <w:szCs w:val="18"/>
                <w:highlight w:val="yellow"/>
              </w:rPr>
              <w:t>Nemzetközi hallgatók száma</w:t>
            </w:r>
          </w:p>
        </w:tc>
        <w:tc>
          <w:tcPr>
            <w:tcW w:w="1218" w:type="dxa"/>
          </w:tcPr>
          <w:p w14:paraId="35B97200" w14:textId="59045DEE" w:rsidR="00AF136A" w:rsidRPr="00032A4C" w:rsidRDefault="00CA678C"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Hallgatói létszám, nem magyar állampolgár és a képzés nem magyar nyelvű</w:t>
            </w:r>
          </w:p>
        </w:tc>
        <w:tc>
          <w:tcPr>
            <w:tcW w:w="1218" w:type="dxa"/>
          </w:tcPr>
          <w:p w14:paraId="26573E99" w14:textId="505F9E71" w:rsidR="00AF136A" w:rsidRPr="00032A4C" w:rsidRDefault="00CA678C"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Létszámtrendek (felvétel módja: intézményi eljárásban, devizás</w:t>
            </w:r>
            <w:r w:rsidR="00BD72F3" w:rsidRPr="00032A4C">
              <w:rPr>
                <w:sz w:val="18"/>
                <w:szCs w:val="18"/>
                <w:highlight w:val="yellow"/>
              </w:rPr>
              <w:t xml:space="preserve"> képzésre</w:t>
            </w:r>
            <w:r w:rsidRPr="00032A4C">
              <w:rPr>
                <w:sz w:val="18"/>
                <w:szCs w:val="18"/>
                <w:highlight w:val="yellow"/>
              </w:rPr>
              <w:t>)</w:t>
            </w:r>
          </w:p>
        </w:tc>
        <w:tc>
          <w:tcPr>
            <w:tcW w:w="1218" w:type="dxa"/>
          </w:tcPr>
          <w:p w14:paraId="7C0929D4" w14:textId="0A4F832E" w:rsidR="00AF136A" w:rsidRPr="00032A4C" w:rsidRDefault="00CA678C"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2020-2025</w:t>
            </w:r>
          </w:p>
        </w:tc>
        <w:tc>
          <w:tcPr>
            <w:tcW w:w="1218" w:type="dxa"/>
          </w:tcPr>
          <w:p w14:paraId="06969757" w14:textId="59024B0F" w:rsidR="00AF136A" w:rsidRPr="00032A4C" w:rsidRDefault="000C37F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w:t>
            </w:r>
          </w:p>
        </w:tc>
        <w:tc>
          <w:tcPr>
            <w:tcW w:w="1218" w:type="dxa"/>
          </w:tcPr>
          <w:p w14:paraId="5A3898AE"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8462E44"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769C57D" w14:textId="19BB810B" w:rsidR="00AF136A" w:rsidRPr="00032A4C" w:rsidRDefault="00CA678C"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Amennyiben a szak idegennyelven is meghirdetésre kerül</w:t>
            </w:r>
          </w:p>
        </w:tc>
      </w:tr>
      <w:tr w:rsidR="00AF136A" w:rsidRPr="002B0721" w14:paraId="56D87775"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47DFA5CB" w14:textId="5755C928" w:rsidR="00AF136A" w:rsidRPr="00DB3788" w:rsidRDefault="007B73D6" w:rsidP="00D92C6C">
            <w:pPr>
              <w:rPr>
                <w:sz w:val="18"/>
                <w:szCs w:val="18"/>
                <w:highlight w:val="yellow"/>
              </w:rPr>
            </w:pPr>
            <w:r w:rsidRPr="00DB3788">
              <w:rPr>
                <w:sz w:val="18"/>
                <w:szCs w:val="18"/>
                <w:highlight w:val="yellow"/>
              </w:rPr>
              <w:t>Kreditelismerés átfutási idő</w:t>
            </w:r>
          </w:p>
        </w:tc>
        <w:tc>
          <w:tcPr>
            <w:tcW w:w="1218" w:type="dxa"/>
          </w:tcPr>
          <w:p w14:paraId="69E843B2" w14:textId="4FD0210F" w:rsidR="00AF136A" w:rsidRPr="00032A4C" w:rsidRDefault="007B73D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Leadott tantárgyelfogadtatási kérelmek átfutási ideje</w:t>
            </w:r>
          </w:p>
        </w:tc>
        <w:tc>
          <w:tcPr>
            <w:tcW w:w="1218" w:type="dxa"/>
          </w:tcPr>
          <w:p w14:paraId="0E79F389" w14:textId="451B8800" w:rsidR="00AF136A" w:rsidRPr="00032A4C" w:rsidRDefault="007B73D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KTB</w:t>
            </w:r>
          </w:p>
        </w:tc>
        <w:tc>
          <w:tcPr>
            <w:tcW w:w="1218" w:type="dxa"/>
          </w:tcPr>
          <w:p w14:paraId="77808983" w14:textId="54D2F7B0" w:rsidR="00AF136A" w:rsidRPr="00032A4C" w:rsidRDefault="007B73D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202</w:t>
            </w:r>
            <w:r w:rsidR="00843FFA">
              <w:rPr>
                <w:sz w:val="18"/>
                <w:szCs w:val="18"/>
                <w:highlight w:val="yellow"/>
              </w:rPr>
              <w:t>0</w:t>
            </w:r>
            <w:r>
              <w:rPr>
                <w:sz w:val="18"/>
                <w:szCs w:val="18"/>
                <w:highlight w:val="yellow"/>
              </w:rPr>
              <w:t>-202</w:t>
            </w:r>
            <w:r w:rsidR="00843FFA">
              <w:rPr>
                <w:sz w:val="18"/>
                <w:szCs w:val="18"/>
                <w:highlight w:val="yellow"/>
              </w:rPr>
              <w:t>5</w:t>
            </w:r>
          </w:p>
        </w:tc>
        <w:tc>
          <w:tcPr>
            <w:tcW w:w="1218" w:type="dxa"/>
          </w:tcPr>
          <w:p w14:paraId="19285004" w14:textId="1EB19316" w:rsidR="00AF136A" w:rsidRPr="00032A4C" w:rsidRDefault="007B73D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3A9272CF"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1F4B425F"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253E01D1"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AF136A" w:rsidRPr="002B0721" w14:paraId="6323FA8F"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496B96C0" w14:textId="65332A11" w:rsidR="00AF136A" w:rsidRPr="00DB3788" w:rsidRDefault="00843FFA" w:rsidP="00D92C6C">
            <w:pPr>
              <w:rPr>
                <w:sz w:val="18"/>
                <w:szCs w:val="18"/>
                <w:highlight w:val="yellow"/>
              </w:rPr>
            </w:pPr>
            <w:r w:rsidRPr="00DB3788">
              <w:rPr>
                <w:sz w:val="18"/>
                <w:szCs w:val="18"/>
                <w:highlight w:val="yellow"/>
              </w:rPr>
              <w:t>Mobilitási „ablak-kompatibilitás”</w:t>
            </w:r>
          </w:p>
        </w:tc>
        <w:tc>
          <w:tcPr>
            <w:tcW w:w="1218" w:type="dxa"/>
          </w:tcPr>
          <w:p w14:paraId="3F831606" w14:textId="2B48C03B" w:rsidR="00AF136A" w:rsidRPr="00032A4C" w:rsidRDefault="00843FF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43FFA">
              <w:rPr>
                <w:sz w:val="18"/>
                <w:szCs w:val="18"/>
                <w:highlight w:val="yellow"/>
              </w:rPr>
              <w:t>van-e olyan félév/modul, ami kifejezetten mobilitásbarát</w:t>
            </w:r>
          </w:p>
        </w:tc>
        <w:tc>
          <w:tcPr>
            <w:tcW w:w="1218" w:type="dxa"/>
          </w:tcPr>
          <w:p w14:paraId="22F0A897" w14:textId="0A43CBA5" w:rsidR="00AF136A" w:rsidRPr="00032A4C" w:rsidRDefault="00843FF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 xml:space="preserve">FIR OSAP </w:t>
            </w:r>
            <w:r w:rsidRPr="00032A4C">
              <w:rPr>
                <w:sz w:val="18"/>
                <w:szCs w:val="18"/>
                <w:highlight w:val="yellow"/>
              </w:rPr>
              <w:t>(oktatási dékánhelyettestől elkérhető)</w:t>
            </w:r>
            <w:r>
              <w:rPr>
                <w:sz w:val="18"/>
                <w:szCs w:val="18"/>
                <w:highlight w:val="yellow"/>
              </w:rPr>
              <w:t xml:space="preserve"> kiutazókra vonatkozóan, valamint KTB tantárgyelfogadtatásokra vonatkozóan </w:t>
            </w:r>
          </w:p>
        </w:tc>
        <w:tc>
          <w:tcPr>
            <w:tcW w:w="1218" w:type="dxa"/>
          </w:tcPr>
          <w:p w14:paraId="05807C7B" w14:textId="04096D9F" w:rsidR="00AF136A" w:rsidRPr="00032A4C" w:rsidRDefault="00843FF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2D342312" w14:textId="598C1B94" w:rsidR="00AF136A" w:rsidRPr="00032A4C" w:rsidRDefault="00843FF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44323FB5"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6C2D83F"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BEECC65"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AF136A" w:rsidRPr="002B0721" w14:paraId="7D3853CB"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76501ECE" w14:textId="5760EAC4" w:rsidR="00AF136A" w:rsidRPr="00DB3788" w:rsidRDefault="00843FFA" w:rsidP="00D92C6C">
            <w:pPr>
              <w:rPr>
                <w:sz w:val="18"/>
                <w:szCs w:val="18"/>
                <w:highlight w:val="yellow"/>
              </w:rPr>
            </w:pPr>
            <w:r w:rsidRPr="00DB3788">
              <w:rPr>
                <w:sz w:val="18"/>
                <w:szCs w:val="18"/>
                <w:highlight w:val="yellow"/>
              </w:rPr>
              <w:t>Angol nyelvű kurzusok aránya</w:t>
            </w:r>
          </w:p>
        </w:tc>
        <w:tc>
          <w:tcPr>
            <w:tcW w:w="1218" w:type="dxa"/>
          </w:tcPr>
          <w:p w14:paraId="7ABAC363" w14:textId="490FDE08" w:rsidR="00AF136A" w:rsidRPr="00032A4C" w:rsidRDefault="00843FF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A teljes kínálat tekintetében mintatanterv szerint kötelező vagy kötelezően választható tantárgyakra vonatkozóan</w:t>
            </w:r>
          </w:p>
        </w:tc>
        <w:tc>
          <w:tcPr>
            <w:tcW w:w="1218" w:type="dxa"/>
          </w:tcPr>
          <w:p w14:paraId="69E6A539" w14:textId="0E3DB7C8" w:rsidR="00AF136A" w:rsidRPr="00032A4C" w:rsidRDefault="00843FF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NEPTUN, Képzésben résztvevő tanszékek</w:t>
            </w:r>
          </w:p>
        </w:tc>
        <w:tc>
          <w:tcPr>
            <w:tcW w:w="1218" w:type="dxa"/>
          </w:tcPr>
          <w:p w14:paraId="505D6A13" w14:textId="6B65550D" w:rsidR="00AF136A" w:rsidRPr="00032A4C" w:rsidRDefault="00843FF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2ABB4A19" w14:textId="34316467" w:rsidR="00AF136A" w:rsidRPr="00032A4C" w:rsidRDefault="00843FF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6E1669D6"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CE71EE4"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998FD3F"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AF136A" w:rsidRPr="002B0721" w14:paraId="5B8DB75D"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74F380F6" w14:textId="77777777" w:rsidR="00AF136A" w:rsidRPr="007B73D6" w:rsidRDefault="00AF136A" w:rsidP="00D92C6C">
            <w:pPr>
              <w:rPr>
                <w:sz w:val="18"/>
                <w:szCs w:val="18"/>
              </w:rPr>
            </w:pPr>
            <w:r w:rsidRPr="007B73D6">
              <w:rPr>
                <w:sz w:val="18"/>
                <w:szCs w:val="18"/>
              </w:rPr>
              <w:t>&lt;&lt;KITÖLTENDŐ&gt;&gt;</w:t>
            </w:r>
          </w:p>
        </w:tc>
        <w:tc>
          <w:tcPr>
            <w:tcW w:w="1218" w:type="dxa"/>
          </w:tcPr>
          <w:p w14:paraId="3CA76510"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CDCEEDA"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2C40B72"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5F7DDC4"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103A1BD"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3609B1D"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C2B7E00"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bl>
    <w:p w14:paraId="66C0643E" w14:textId="77777777" w:rsidR="00AF136A" w:rsidRPr="002B0721" w:rsidRDefault="00AF136A" w:rsidP="00AF136A">
      <w:pPr>
        <w:pStyle w:val="Heading3"/>
      </w:pPr>
      <w:r w:rsidRPr="002B0721">
        <w:t xml:space="preserve">C) Elemzések és ábrák </w:t>
      </w:r>
    </w:p>
    <w:p w14:paraId="7DD28938"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10E71C5D"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Szegmentáció (ha releváns)</w:t>
      </w:r>
    </w:p>
    <w:p w14:paraId="0D37C85F"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Benchmark (ha elérhető)</w:t>
      </w:r>
    </w:p>
    <w:p w14:paraId="300E9AE9"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3B59B18A"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Kritikus pontok (tantárgyak) / kritikus tanulmányi utal </w:t>
      </w:r>
    </w:p>
    <w:p w14:paraId="7AFCCD40" w14:textId="77777777" w:rsidR="00AF136A" w:rsidRPr="002B0721" w:rsidRDefault="00AF136A" w:rsidP="00AF136A">
      <w:pPr>
        <w:pStyle w:val="Heading3"/>
      </w:pPr>
      <w:r w:rsidRPr="002B0721">
        <w:t>D) Fő megállapítások</w:t>
      </w:r>
    </w:p>
    <w:p w14:paraId="4F5B1373" w14:textId="77777777" w:rsidR="00AF136A" w:rsidRPr="002B0721" w:rsidRDefault="00AF136A" w:rsidP="00AF136A">
      <w:r w:rsidRPr="002B0721">
        <w:rPr>
          <w:i/>
          <w:color w:val="005A9C"/>
        </w:rPr>
        <w:t>&lt;&lt;3-7 pont&gt;&gt;</w:t>
      </w:r>
    </w:p>
    <w:p w14:paraId="6AADD7D5" w14:textId="1BCED8CA" w:rsidR="00843FFA" w:rsidRPr="00843FFA" w:rsidRDefault="00843FFA" w:rsidP="00843FFA">
      <w:pPr>
        <w:pStyle w:val="ListParagraph"/>
        <w:numPr>
          <w:ilvl w:val="0"/>
          <w:numId w:val="6"/>
        </w:numPr>
        <w:rPr>
          <w:highlight w:val="yellow"/>
        </w:rPr>
      </w:pPr>
      <w:r w:rsidRPr="00843FFA">
        <w:rPr>
          <w:highlight w:val="yellow"/>
        </w:rPr>
        <w:t>Mobilitási szándék van, de a tanterv/órarend nem engedi/nem támogatja</w:t>
      </w:r>
      <w:r w:rsidRPr="00843FFA">
        <w:rPr>
          <w:highlight w:val="yellow"/>
        </w:rPr>
        <w:t>, az érintett félévre előírt mintatantervi tantárgyak külföldi intézmények tantárgyaival való kiváltása, megfeleltetése nehézséget okoz a mobilitásban résztvevő hallgatóknak</w:t>
      </w:r>
      <w:r w:rsidRPr="00843FFA">
        <w:rPr>
          <w:highlight w:val="yellow"/>
        </w:rPr>
        <w:t>.</w:t>
      </w:r>
    </w:p>
    <w:p w14:paraId="2A3DEDEE" w14:textId="075F710E" w:rsidR="00843FFA" w:rsidRPr="00843FFA" w:rsidRDefault="00843FFA" w:rsidP="00843FFA">
      <w:pPr>
        <w:pStyle w:val="ListParagraph"/>
        <w:numPr>
          <w:ilvl w:val="0"/>
          <w:numId w:val="6"/>
        </w:numPr>
        <w:rPr>
          <w:highlight w:val="yellow"/>
        </w:rPr>
      </w:pPr>
      <w:r w:rsidRPr="00843FFA">
        <w:rPr>
          <w:highlight w:val="yellow"/>
        </w:rPr>
        <w:t>Van angol nyelvű kurzuskínálat, de nem stabil vagy nem illeszkedik a tanulási eredményekhez.</w:t>
      </w:r>
    </w:p>
    <w:p w14:paraId="24DD9E5A" w14:textId="2EBC0B58" w:rsidR="00843FFA" w:rsidRPr="00843FFA" w:rsidRDefault="00843FFA" w:rsidP="00843FFA">
      <w:pPr>
        <w:pStyle w:val="ListParagraph"/>
        <w:numPr>
          <w:ilvl w:val="0"/>
          <w:numId w:val="6"/>
        </w:numPr>
        <w:rPr>
          <w:highlight w:val="yellow"/>
        </w:rPr>
      </w:pPr>
      <w:r w:rsidRPr="00843FFA">
        <w:rPr>
          <w:highlight w:val="yellow"/>
        </w:rPr>
        <w:t>A mobilitás utáni kreditelismerés nehézkes, tanulmányi idő túlfutáshoz vezet.</w:t>
      </w:r>
    </w:p>
    <w:p w14:paraId="25098773" w14:textId="77777777" w:rsidR="00AF136A" w:rsidRPr="002B0721" w:rsidRDefault="00AF136A" w:rsidP="00AF136A">
      <w:pPr>
        <w:pStyle w:val="ListParagraph"/>
        <w:numPr>
          <w:ilvl w:val="0"/>
          <w:numId w:val="6"/>
        </w:numPr>
      </w:pPr>
      <w:r w:rsidRPr="002B0721">
        <w:t>&lt;&lt;KITÖLTENDŐ&gt;&gt;</w:t>
      </w:r>
    </w:p>
    <w:p w14:paraId="799E2004" w14:textId="77777777" w:rsidR="00AF136A" w:rsidRPr="002B0721" w:rsidRDefault="00AF136A" w:rsidP="00AF136A">
      <w:pPr>
        <w:pStyle w:val="Heading3"/>
      </w:pPr>
      <w:r w:rsidRPr="002B0721">
        <w:t>E) Döntési opciók</w:t>
      </w:r>
    </w:p>
    <w:p w14:paraId="423F201B" w14:textId="77777777" w:rsidR="00AF136A" w:rsidRPr="002B0721" w:rsidRDefault="00AF136A" w:rsidP="00AF136A">
      <w:r w:rsidRPr="002B0721">
        <w:t>Döntési opciók (min. 2-3 alternatíva)</w:t>
      </w:r>
    </w:p>
    <w:tbl>
      <w:tblPr>
        <w:tblStyle w:val="GridTable5Dark-Accent1"/>
        <w:tblW w:w="0" w:type="auto"/>
        <w:tblLook w:val="04A0" w:firstRow="1" w:lastRow="0" w:firstColumn="1" w:lastColumn="0" w:noHBand="0" w:noVBand="1"/>
      </w:tblPr>
      <w:tblGrid>
        <w:gridCol w:w="687"/>
        <w:gridCol w:w="1948"/>
        <w:gridCol w:w="1396"/>
        <w:gridCol w:w="1677"/>
        <w:gridCol w:w="1677"/>
        <w:gridCol w:w="1677"/>
      </w:tblGrid>
      <w:tr w:rsidR="00843FFA" w:rsidRPr="002B0721" w14:paraId="057F39ED" w14:textId="77777777" w:rsidTr="00843F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0" w:type="dxa"/>
          </w:tcPr>
          <w:p w14:paraId="0ABF7FF5" w14:textId="77777777" w:rsidR="00AF136A" w:rsidRPr="002B0721" w:rsidRDefault="00AF136A" w:rsidP="00D92C6C">
            <w:pPr>
              <w:rPr>
                <w:sz w:val="18"/>
                <w:szCs w:val="18"/>
              </w:rPr>
            </w:pPr>
            <w:r w:rsidRPr="002B0721">
              <w:rPr>
                <w:sz w:val="18"/>
                <w:szCs w:val="18"/>
              </w:rPr>
              <w:t>Opció</w:t>
            </w:r>
          </w:p>
        </w:tc>
        <w:tc>
          <w:tcPr>
            <w:tcW w:w="1888" w:type="dxa"/>
          </w:tcPr>
          <w:p w14:paraId="6F9C8CCD" w14:textId="77777777" w:rsidR="00AF136A" w:rsidRPr="00843FFA"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843FFA">
              <w:rPr>
                <w:sz w:val="18"/>
                <w:szCs w:val="18"/>
              </w:rPr>
              <w:t>Leírás</w:t>
            </w:r>
          </w:p>
        </w:tc>
        <w:tc>
          <w:tcPr>
            <w:tcW w:w="1626" w:type="dxa"/>
          </w:tcPr>
          <w:p w14:paraId="63D29A84"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 (KPI)</w:t>
            </w:r>
          </w:p>
        </w:tc>
        <w:tc>
          <w:tcPr>
            <w:tcW w:w="1626" w:type="dxa"/>
          </w:tcPr>
          <w:p w14:paraId="217EB882"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Erőforrásigény / költség</w:t>
            </w:r>
          </w:p>
        </w:tc>
        <w:tc>
          <w:tcPr>
            <w:tcW w:w="1626" w:type="dxa"/>
          </w:tcPr>
          <w:p w14:paraId="1579250D"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 (hónap)</w:t>
            </w:r>
          </w:p>
        </w:tc>
        <w:tc>
          <w:tcPr>
            <w:tcW w:w="1626" w:type="dxa"/>
          </w:tcPr>
          <w:p w14:paraId="638F24AF"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Fő kockázat + </w:t>
            </w:r>
            <w:proofErr w:type="spellStart"/>
            <w:r w:rsidRPr="002B0721">
              <w:rPr>
                <w:sz w:val="18"/>
                <w:szCs w:val="18"/>
              </w:rPr>
              <w:t>mitigáció</w:t>
            </w:r>
            <w:proofErr w:type="spellEnd"/>
          </w:p>
        </w:tc>
      </w:tr>
      <w:tr w:rsidR="00843FFA" w:rsidRPr="002B0721" w14:paraId="0234CAE5" w14:textId="77777777" w:rsidTr="00843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7CDDDF3C" w14:textId="77777777" w:rsidR="00843FFA" w:rsidRPr="002B0721" w:rsidRDefault="00843FFA" w:rsidP="00843FFA">
            <w:pPr>
              <w:rPr>
                <w:sz w:val="18"/>
                <w:szCs w:val="18"/>
              </w:rPr>
            </w:pPr>
            <w:r w:rsidRPr="002B0721">
              <w:rPr>
                <w:sz w:val="18"/>
                <w:szCs w:val="18"/>
              </w:rPr>
              <w:t>Opció 1</w:t>
            </w:r>
          </w:p>
        </w:tc>
        <w:tc>
          <w:tcPr>
            <w:tcW w:w="1888" w:type="dxa"/>
          </w:tcPr>
          <w:p w14:paraId="66C9EC18" w14:textId="03B327EF" w:rsidR="00843FFA" w:rsidRPr="00843FFA"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43FFA">
              <w:rPr>
                <w:rFonts w:eastAsia="Noto Sans" w:cs="Noto Sans"/>
                <w:kern w:val="24"/>
                <w:sz w:val="18"/>
                <w:szCs w:val="18"/>
                <w:highlight w:val="yellow"/>
              </w:rPr>
              <w:t xml:space="preserve">Mobilitási ablak </w:t>
            </w:r>
            <w:proofErr w:type="spellStart"/>
            <w:r w:rsidRPr="00843FFA">
              <w:rPr>
                <w:rFonts w:eastAsia="Noto Sans" w:cs="Noto Sans"/>
                <w:kern w:val="24"/>
                <w:sz w:val="18"/>
                <w:szCs w:val="18"/>
                <w:highlight w:val="yellow"/>
              </w:rPr>
              <w:t>újratervezése</w:t>
            </w:r>
            <w:proofErr w:type="spellEnd"/>
            <w:r w:rsidRPr="00843FFA">
              <w:rPr>
                <w:rFonts w:eastAsia="Noto Sans" w:cs="Noto Sans"/>
                <w:kern w:val="24"/>
                <w:sz w:val="18"/>
                <w:szCs w:val="18"/>
                <w:highlight w:val="yellow"/>
              </w:rPr>
              <w:t xml:space="preserve"> (tantervi szerkezet + előtanulmányi rend finomhangolása)</w:t>
            </w:r>
          </w:p>
        </w:tc>
        <w:tc>
          <w:tcPr>
            <w:tcW w:w="1626" w:type="dxa"/>
          </w:tcPr>
          <w:p w14:paraId="6B7332C0" w14:textId="7FE228A0" w:rsidR="00843FFA" w:rsidRPr="00843FFA"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43FFA">
              <w:rPr>
                <w:sz w:val="18"/>
                <w:szCs w:val="18"/>
                <w:highlight w:val="yellow"/>
              </w:rPr>
              <w:t>Mobilitási programban résztvevők</w:t>
            </w:r>
            <w:r w:rsidRPr="00843FFA">
              <w:rPr>
                <w:sz w:val="18"/>
                <w:szCs w:val="18"/>
                <w:highlight w:val="yellow"/>
              </w:rPr>
              <w:t xml:space="preserve">; </w:t>
            </w:r>
            <w:r w:rsidRPr="00843FFA">
              <w:rPr>
                <w:sz w:val="18"/>
                <w:szCs w:val="18"/>
                <w:highlight w:val="yellow"/>
              </w:rPr>
              <w:t>Mobilitási „ablak-kompatibilitás”</w:t>
            </w:r>
          </w:p>
        </w:tc>
        <w:tc>
          <w:tcPr>
            <w:tcW w:w="1626" w:type="dxa"/>
          </w:tcPr>
          <w:p w14:paraId="3D6EEE61" w14:textId="77777777" w:rsidR="00843FFA" w:rsidRPr="00EC0664"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63BBD82D" w14:textId="77777777" w:rsidR="00843FFA" w:rsidRPr="00EC0664"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3861277D" w14:textId="77777777" w:rsidR="00843FFA" w:rsidRPr="00EC0664"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0664">
              <w:rPr>
                <w:sz w:val="18"/>
                <w:szCs w:val="18"/>
                <w:highlight w:val="yellow"/>
              </w:rPr>
              <w:t>&lt;&lt;KITÖLTENDŐ&gt;&gt;</w:t>
            </w:r>
          </w:p>
        </w:tc>
      </w:tr>
      <w:tr w:rsidR="00843FFA" w:rsidRPr="002B0721" w14:paraId="452EC3F7" w14:textId="77777777" w:rsidTr="00843FFA">
        <w:tc>
          <w:tcPr>
            <w:cnfStyle w:val="001000000000" w:firstRow="0" w:lastRow="0" w:firstColumn="1" w:lastColumn="0" w:oddVBand="0" w:evenVBand="0" w:oddHBand="0" w:evenHBand="0" w:firstRowFirstColumn="0" w:firstRowLastColumn="0" w:lastRowFirstColumn="0" w:lastRowLastColumn="0"/>
            <w:tcW w:w="670" w:type="dxa"/>
          </w:tcPr>
          <w:p w14:paraId="3E58568F" w14:textId="77777777" w:rsidR="00843FFA" w:rsidRPr="002B0721" w:rsidRDefault="00843FFA" w:rsidP="00843FFA">
            <w:pPr>
              <w:rPr>
                <w:sz w:val="18"/>
                <w:szCs w:val="18"/>
              </w:rPr>
            </w:pPr>
            <w:r w:rsidRPr="002B0721">
              <w:rPr>
                <w:sz w:val="18"/>
                <w:szCs w:val="18"/>
              </w:rPr>
              <w:t>Opció 2</w:t>
            </w:r>
          </w:p>
        </w:tc>
        <w:tc>
          <w:tcPr>
            <w:tcW w:w="1888" w:type="dxa"/>
          </w:tcPr>
          <w:p w14:paraId="5DFD7B99" w14:textId="7501206A" w:rsidR="00843FFA" w:rsidRPr="00843FFA"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43FFA">
              <w:rPr>
                <w:rFonts w:eastAsia="Noto Sans" w:cs="Noto Sans"/>
                <w:kern w:val="24"/>
                <w:sz w:val="18"/>
                <w:szCs w:val="18"/>
                <w:highlight w:val="yellow"/>
              </w:rPr>
              <w:t>Angol nyelvű „gerinc”: kulcstárgyak vagy modulok angolul, kiszámítható meghirdetési renddel és kínálattal</w:t>
            </w:r>
          </w:p>
        </w:tc>
        <w:tc>
          <w:tcPr>
            <w:tcW w:w="1626" w:type="dxa"/>
          </w:tcPr>
          <w:p w14:paraId="607B90A5" w14:textId="3080CDB2" w:rsidR="00843FFA" w:rsidRPr="00843FFA"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43FFA">
              <w:rPr>
                <w:sz w:val="18"/>
                <w:szCs w:val="18"/>
                <w:highlight w:val="yellow"/>
              </w:rPr>
              <w:t>Angol nyelvű kurzusok aránya</w:t>
            </w:r>
          </w:p>
        </w:tc>
        <w:tc>
          <w:tcPr>
            <w:tcW w:w="1626" w:type="dxa"/>
          </w:tcPr>
          <w:p w14:paraId="7F68F1A3" w14:textId="77777777" w:rsidR="00843FFA" w:rsidRPr="00EC0664"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780B0966" w14:textId="77777777" w:rsidR="00843FFA" w:rsidRPr="00EC0664"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5A7492C0" w14:textId="77777777" w:rsidR="00843FFA" w:rsidRPr="00EC0664"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C0664">
              <w:rPr>
                <w:sz w:val="18"/>
                <w:szCs w:val="18"/>
                <w:highlight w:val="yellow"/>
              </w:rPr>
              <w:t>&lt;&lt;KITÖLTENDŐ&gt;&gt;</w:t>
            </w:r>
          </w:p>
        </w:tc>
      </w:tr>
      <w:tr w:rsidR="00843FFA" w:rsidRPr="002B0721" w14:paraId="1D2774BA" w14:textId="77777777" w:rsidTr="00843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 w:type="dxa"/>
          </w:tcPr>
          <w:p w14:paraId="2E20AA02" w14:textId="77777777" w:rsidR="00843FFA" w:rsidRPr="002B0721" w:rsidRDefault="00843FFA" w:rsidP="00843FFA">
            <w:pPr>
              <w:rPr>
                <w:sz w:val="18"/>
                <w:szCs w:val="18"/>
              </w:rPr>
            </w:pPr>
            <w:r w:rsidRPr="002B0721">
              <w:rPr>
                <w:sz w:val="18"/>
                <w:szCs w:val="18"/>
              </w:rPr>
              <w:t>Opció 3</w:t>
            </w:r>
          </w:p>
        </w:tc>
        <w:tc>
          <w:tcPr>
            <w:tcW w:w="1888" w:type="dxa"/>
          </w:tcPr>
          <w:p w14:paraId="3626C8F2" w14:textId="7AC2079E" w:rsidR="00843FFA" w:rsidRPr="00843FFA"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43FFA">
              <w:rPr>
                <w:rFonts w:eastAsia="Noto Sans" w:cs="Noto Sans"/>
                <w:kern w:val="24"/>
                <w:sz w:val="18"/>
                <w:szCs w:val="18"/>
                <w:highlight w:val="yellow"/>
              </w:rPr>
              <w:t>Kreditelismerési gyorsítósáv (előzetes és egyértelműen kommunikált ekvivalenciamátrix + gyors ügyintézés)</w:t>
            </w:r>
          </w:p>
        </w:tc>
        <w:tc>
          <w:tcPr>
            <w:tcW w:w="1626" w:type="dxa"/>
          </w:tcPr>
          <w:p w14:paraId="08F7CAED" w14:textId="23F330E8" w:rsidR="00843FFA" w:rsidRPr="00843FFA"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843FFA">
              <w:rPr>
                <w:sz w:val="18"/>
                <w:szCs w:val="18"/>
                <w:highlight w:val="yellow"/>
              </w:rPr>
              <w:t>Mobilitási programban résztvevők</w:t>
            </w:r>
            <w:r w:rsidRPr="00843FFA">
              <w:rPr>
                <w:sz w:val="18"/>
                <w:szCs w:val="18"/>
                <w:highlight w:val="yellow"/>
              </w:rPr>
              <w:t xml:space="preserve">; </w:t>
            </w:r>
            <w:r w:rsidRPr="00843FFA">
              <w:rPr>
                <w:sz w:val="18"/>
                <w:szCs w:val="18"/>
                <w:highlight w:val="yellow"/>
              </w:rPr>
              <w:t>Kreditelismerés átfutási idő</w:t>
            </w:r>
          </w:p>
        </w:tc>
        <w:tc>
          <w:tcPr>
            <w:tcW w:w="1626" w:type="dxa"/>
          </w:tcPr>
          <w:p w14:paraId="2530A5DD" w14:textId="77777777" w:rsidR="00843FFA" w:rsidRPr="00EC0664"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5657D8DD" w14:textId="77777777" w:rsidR="00843FFA" w:rsidRPr="00EC0664"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03277E5D" w14:textId="77777777" w:rsidR="00843FFA" w:rsidRPr="00EC0664" w:rsidRDefault="00843FFA" w:rsidP="00843FFA">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C0664">
              <w:rPr>
                <w:sz w:val="18"/>
                <w:szCs w:val="18"/>
                <w:highlight w:val="yellow"/>
              </w:rPr>
              <w:t>&lt;&lt;KITÖLTENDŐ&gt;&gt;</w:t>
            </w:r>
          </w:p>
        </w:tc>
      </w:tr>
      <w:tr w:rsidR="00843FFA" w:rsidRPr="002B0721" w14:paraId="310AA72D" w14:textId="77777777" w:rsidTr="00843FFA">
        <w:tc>
          <w:tcPr>
            <w:cnfStyle w:val="001000000000" w:firstRow="0" w:lastRow="0" w:firstColumn="1" w:lastColumn="0" w:oddVBand="0" w:evenVBand="0" w:oddHBand="0" w:evenHBand="0" w:firstRowFirstColumn="0" w:firstRowLastColumn="0" w:lastRowFirstColumn="0" w:lastRowLastColumn="0"/>
            <w:tcW w:w="670" w:type="dxa"/>
          </w:tcPr>
          <w:p w14:paraId="11C6D168" w14:textId="7349DB4D" w:rsidR="00843FFA" w:rsidRPr="002B0721" w:rsidRDefault="00843FFA" w:rsidP="00843FFA">
            <w:pPr>
              <w:rPr>
                <w:sz w:val="18"/>
                <w:szCs w:val="18"/>
              </w:rPr>
            </w:pPr>
            <w:r>
              <w:rPr>
                <w:sz w:val="18"/>
                <w:szCs w:val="18"/>
              </w:rPr>
              <w:t>Opció 4</w:t>
            </w:r>
          </w:p>
        </w:tc>
        <w:tc>
          <w:tcPr>
            <w:tcW w:w="1888" w:type="dxa"/>
          </w:tcPr>
          <w:p w14:paraId="135C50A3" w14:textId="18E9D206" w:rsidR="00843FFA" w:rsidRPr="00843FFA"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43FFA">
              <w:rPr>
                <w:rFonts w:eastAsia="Noto Sans" w:cs="Noto Sans"/>
                <w:kern w:val="24"/>
                <w:sz w:val="18"/>
                <w:szCs w:val="18"/>
                <w:highlight w:val="yellow"/>
              </w:rPr>
              <w:t>Partner-portfólió áttekintése/fókuszálása (kevesebb, de mélyebb együttműködés: közös projekt, közös témák)</w:t>
            </w:r>
          </w:p>
        </w:tc>
        <w:tc>
          <w:tcPr>
            <w:tcW w:w="1626" w:type="dxa"/>
          </w:tcPr>
          <w:p w14:paraId="578E2620" w14:textId="2E08F839" w:rsidR="00843FFA" w:rsidRPr="00843FFA"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843FFA">
              <w:rPr>
                <w:sz w:val="18"/>
                <w:szCs w:val="18"/>
                <w:highlight w:val="yellow"/>
              </w:rPr>
              <w:t>Nemzetközi hallgatók száma</w:t>
            </w:r>
          </w:p>
        </w:tc>
        <w:tc>
          <w:tcPr>
            <w:tcW w:w="1626" w:type="dxa"/>
          </w:tcPr>
          <w:p w14:paraId="03597A36" w14:textId="64C0BE90" w:rsidR="00843FFA" w:rsidRPr="00EC0664"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1AB22244" w14:textId="515B950B" w:rsidR="00843FFA" w:rsidRPr="00EC0664"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C0664">
              <w:rPr>
                <w:sz w:val="18"/>
                <w:szCs w:val="18"/>
                <w:highlight w:val="yellow"/>
              </w:rPr>
              <w:t>&lt;&lt;KITÖLTENDŐ&gt;&gt;</w:t>
            </w:r>
          </w:p>
        </w:tc>
        <w:tc>
          <w:tcPr>
            <w:tcW w:w="1626" w:type="dxa"/>
          </w:tcPr>
          <w:p w14:paraId="3ED94A78" w14:textId="4171B511" w:rsidR="00843FFA" w:rsidRPr="00EC0664" w:rsidRDefault="00843FFA" w:rsidP="00843FF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EC0664">
              <w:rPr>
                <w:sz w:val="18"/>
                <w:szCs w:val="18"/>
                <w:highlight w:val="yellow"/>
              </w:rPr>
              <w:t>&lt;&lt;KITÖLTENDŐ&gt;&gt;</w:t>
            </w:r>
          </w:p>
        </w:tc>
      </w:tr>
    </w:tbl>
    <w:p w14:paraId="0DB5CD3B" w14:textId="77777777" w:rsidR="00AF136A" w:rsidRPr="002B0721" w:rsidRDefault="00AF136A" w:rsidP="00AF136A">
      <w:pPr>
        <w:pStyle w:val="Heading3"/>
      </w:pPr>
      <w:r w:rsidRPr="002B0721">
        <w:t>F) Kockázatok és kezelések</w:t>
      </w:r>
    </w:p>
    <w:p w14:paraId="128F09C2"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kockázat&gt;&gt;</w:t>
      </w:r>
    </w:p>
    <w:p w14:paraId="1476093B" w14:textId="77777777" w:rsidR="00AF136A" w:rsidRPr="002B0721" w:rsidRDefault="00AF136A" w:rsidP="00AF136A">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AF136A" w:rsidRPr="002B0721" w14:paraId="6357460C"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F4CE74A" w14:textId="77777777" w:rsidR="00AF136A" w:rsidRPr="002B0721" w:rsidRDefault="00AF136A" w:rsidP="00D92C6C">
            <w:pPr>
              <w:jc w:val="center"/>
              <w:rPr>
                <w:sz w:val="18"/>
                <w:szCs w:val="18"/>
              </w:rPr>
            </w:pPr>
            <w:r w:rsidRPr="002B0721">
              <w:rPr>
                <w:sz w:val="18"/>
                <w:szCs w:val="18"/>
              </w:rPr>
              <w:t>Állítás / megállapítás</w:t>
            </w:r>
          </w:p>
        </w:tc>
        <w:tc>
          <w:tcPr>
            <w:tcW w:w="2191" w:type="dxa"/>
          </w:tcPr>
          <w:p w14:paraId="1451C6F8"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típusa</w:t>
            </w:r>
          </w:p>
        </w:tc>
        <w:tc>
          <w:tcPr>
            <w:tcW w:w="2392" w:type="dxa"/>
          </w:tcPr>
          <w:p w14:paraId="204ADDB4"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Hivatkozás (ábra/táblázat/melléklet)</w:t>
            </w:r>
          </w:p>
        </w:tc>
        <w:tc>
          <w:tcPr>
            <w:tcW w:w="2171" w:type="dxa"/>
          </w:tcPr>
          <w:p w14:paraId="73281269"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F136A" w:rsidRPr="002B0721" w14:paraId="3B573D25"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6271699" w14:textId="77777777" w:rsidR="00AF136A" w:rsidRPr="002B0721" w:rsidRDefault="00AF136A" w:rsidP="00D92C6C">
            <w:pPr>
              <w:rPr>
                <w:sz w:val="18"/>
                <w:szCs w:val="18"/>
              </w:rPr>
            </w:pPr>
            <w:r w:rsidRPr="002B0721">
              <w:rPr>
                <w:sz w:val="18"/>
                <w:szCs w:val="18"/>
              </w:rPr>
              <w:t>&lt;&lt;KITÖLTENDŐ&gt;&gt;</w:t>
            </w:r>
          </w:p>
        </w:tc>
        <w:tc>
          <w:tcPr>
            <w:tcW w:w="2191" w:type="dxa"/>
          </w:tcPr>
          <w:p w14:paraId="449AB61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7E474C6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104B7F1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5E1C08CA"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1CD1793A" w14:textId="77777777" w:rsidR="00AF136A" w:rsidRPr="002B0721" w:rsidRDefault="00AF136A" w:rsidP="00D92C6C">
            <w:pPr>
              <w:rPr>
                <w:sz w:val="18"/>
                <w:szCs w:val="18"/>
              </w:rPr>
            </w:pPr>
            <w:r w:rsidRPr="002B0721">
              <w:rPr>
                <w:sz w:val="18"/>
                <w:szCs w:val="18"/>
              </w:rPr>
              <w:t>&lt;&lt;KITÖLTENDŐ&gt;&gt;</w:t>
            </w:r>
          </w:p>
        </w:tc>
        <w:tc>
          <w:tcPr>
            <w:tcW w:w="2191" w:type="dxa"/>
          </w:tcPr>
          <w:p w14:paraId="2B24762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30D63021"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4013A0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2BC2FC1D"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748A1CF3" w14:textId="77777777" w:rsidR="00AF136A" w:rsidRPr="002B0721" w:rsidRDefault="00AF136A" w:rsidP="00D92C6C">
            <w:pPr>
              <w:rPr>
                <w:sz w:val="18"/>
                <w:szCs w:val="18"/>
              </w:rPr>
            </w:pPr>
            <w:r w:rsidRPr="002B0721">
              <w:rPr>
                <w:sz w:val="18"/>
                <w:szCs w:val="18"/>
              </w:rPr>
              <w:t>&lt;&lt;KITÖLTENDŐ&gt;&gt;</w:t>
            </w:r>
          </w:p>
        </w:tc>
        <w:tc>
          <w:tcPr>
            <w:tcW w:w="2191" w:type="dxa"/>
          </w:tcPr>
          <w:p w14:paraId="718581D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29D441E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4EF1C29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0F131589"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724EB588" w14:textId="77777777" w:rsidR="00AF136A" w:rsidRPr="002B0721" w:rsidRDefault="00AF136A" w:rsidP="00D92C6C">
            <w:pPr>
              <w:rPr>
                <w:sz w:val="18"/>
                <w:szCs w:val="18"/>
              </w:rPr>
            </w:pPr>
            <w:r w:rsidRPr="002B0721">
              <w:rPr>
                <w:sz w:val="18"/>
                <w:szCs w:val="18"/>
              </w:rPr>
              <w:t>&lt;&lt;KITÖLTENDŐ&gt;&gt;</w:t>
            </w:r>
          </w:p>
        </w:tc>
        <w:tc>
          <w:tcPr>
            <w:tcW w:w="2191" w:type="dxa"/>
          </w:tcPr>
          <w:p w14:paraId="509709CE"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D60172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7A64FB8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150DC0C5"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A2DDCFE" w14:textId="77777777" w:rsidR="00AF136A" w:rsidRPr="002B0721" w:rsidRDefault="00AF136A" w:rsidP="00D92C6C">
            <w:pPr>
              <w:rPr>
                <w:sz w:val="18"/>
                <w:szCs w:val="18"/>
              </w:rPr>
            </w:pPr>
            <w:r w:rsidRPr="002B0721">
              <w:rPr>
                <w:sz w:val="18"/>
                <w:szCs w:val="18"/>
              </w:rPr>
              <w:t>&lt;&lt;KITÖLTENDŐ&gt;&gt;</w:t>
            </w:r>
          </w:p>
        </w:tc>
        <w:tc>
          <w:tcPr>
            <w:tcW w:w="2191" w:type="dxa"/>
          </w:tcPr>
          <w:p w14:paraId="7C83ED43"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C32203E"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A0BE2E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184E4741"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4BA90627" w14:textId="77777777" w:rsidR="00AF136A" w:rsidRPr="002B0721" w:rsidRDefault="00AF136A" w:rsidP="00D92C6C">
            <w:pPr>
              <w:rPr>
                <w:sz w:val="18"/>
                <w:szCs w:val="18"/>
              </w:rPr>
            </w:pPr>
            <w:r w:rsidRPr="002B0721">
              <w:rPr>
                <w:sz w:val="18"/>
                <w:szCs w:val="18"/>
              </w:rPr>
              <w:t>&lt;&lt;KITÖLTENDŐ&gt;&gt;</w:t>
            </w:r>
          </w:p>
        </w:tc>
        <w:tc>
          <w:tcPr>
            <w:tcW w:w="2191" w:type="dxa"/>
          </w:tcPr>
          <w:p w14:paraId="2E5DF60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5B4986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C46844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bl>
    <w:p w14:paraId="0E1054D2" w14:textId="77777777" w:rsidR="00AF136A" w:rsidRPr="002B0721" w:rsidRDefault="00AF136A" w:rsidP="00AF136A">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AF136A" w:rsidRPr="002B0721" w14:paraId="65783E3E"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392A55A" w14:textId="77777777" w:rsidR="00AF136A" w:rsidRPr="002B0721" w:rsidRDefault="00AF136A" w:rsidP="00D92C6C">
            <w:pPr>
              <w:rPr>
                <w:sz w:val="18"/>
                <w:szCs w:val="18"/>
              </w:rPr>
            </w:pPr>
            <w:r w:rsidRPr="002B0721">
              <w:rPr>
                <w:sz w:val="18"/>
                <w:szCs w:val="18"/>
              </w:rPr>
              <w:t>ESG standard(ok)</w:t>
            </w:r>
          </w:p>
        </w:tc>
        <w:tc>
          <w:tcPr>
            <w:tcW w:w="3034" w:type="dxa"/>
          </w:tcPr>
          <w:p w14:paraId="4BDE35DA"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Hogyan kapcsolódik a pillérhez?</w:t>
            </w:r>
          </w:p>
        </w:tc>
        <w:tc>
          <w:tcPr>
            <w:tcW w:w="3068" w:type="dxa"/>
          </w:tcPr>
          <w:p w14:paraId="26C4C2F7"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(fejezet/ábra/táblázat)</w:t>
            </w:r>
          </w:p>
        </w:tc>
      </w:tr>
      <w:tr w:rsidR="00AF136A" w:rsidRPr="002B0721" w14:paraId="0DB33053"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0F8B96C" w14:textId="77777777" w:rsidR="00AF136A" w:rsidRPr="002B0721" w:rsidRDefault="00AF136A" w:rsidP="00D92C6C">
            <w:pPr>
              <w:rPr>
                <w:sz w:val="18"/>
                <w:szCs w:val="18"/>
              </w:rPr>
            </w:pPr>
            <w:r w:rsidRPr="002B0721">
              <w:rPr>
                <w:sz w:val="18"/>
                <w:szCs w:val="18"/>
              </w:rPr>
              <w:t xml:space="preserve">1.2, </w:t>
            </w:r>
          </w:p>
        </w:tc>
        <w:tc>
          <w:tcPr>
            <w:tcW w:w="3034" w:type="dxa"/>
          </w:tcPr>
          <w:p w14:paraId="70EE497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00851CE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6A31CC88"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2E51A889" w14:textId="77777777" w:rsidR="00AF136A" w:rsidRPr="002B0721" w:rsidRDefault="00AF136A" w:rsidP="00D92C6C">
            <w:pPr>
              <w:rPr>
                <w:sz w:val="18"/>
                <w:szCs w:val="18"/>
              </w:rPr>
            </w:pPr>
            <w:r w:rsidRPr="002B0721">
              <w:rPr>
                <w:sz w:val="18"/>
                <w:szCs w:val="18"/>
              </w:rPr>
              <w:t>1.3</w:t>
            </w:r>
          </w:p>
        </w:tc>
        <w:tc>
          <w:tcPr>
            <w:tcW w:w="3034" w:type="dxa"/>
          </w:tcPr>
          <w:p w14:paraId="0DBB609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6874F6ED"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495CCDF8"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3806B41" w14:textId="77777777" w:rsidR="00AF136A" w:rsidRPr="002B0721" w:rsidRDefault="00AF136A" w:rsidP="00D92C6C">
            <w:pPr>
              <w:rPr>
                <w:sz w:val="18"/>
                <w:szCs w:val="18"/>
              </w:rPr>
            </w:pPr>
            <w:r w:rsidRPr="002B0721">
              <w:rPr>
                <w:sz w:val="18"/>
                <w:szCs w:val="18"/>
              </w:rPr>
              <w:t>1.4</w:t>
            </w:r>
          </w:p>
        </w:tc>
        <w:tc>
          <w:tcPr>
            <w:tcW w:w="3034" w:type="dxa"/>
          </w:tcPr>
          <w:p w14:paraId="409F5B0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3C74012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0E3D210C"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085681A8" w14:textId="77777777" w:rsidR="00AF136A" w:rsidRPr="002B0721" w:rsidRDefault="00AF136A" w:rsidP="00D92C6C">
            <w:pPr>
              <w:rPr>
                <w:sz w:val="18"/>
                <w:szCs w:val="18"/>
              </w:rPr>
            </w:pPr>
            <w:r w:rsidRPr="002B0721">
              <w:rPr>
                <w:sz w:val="18"/>
                <w:szCs w:val="18"/>
              </w:rPr>
              <w:t>1.6</w:t>
            </w:r>
          </w:p>
        </w:tc>
        <w:tc>
          <w:tcPr>
            <w:tcW w:w="3034" w:type="dxa"/>
          </w:tcPr>
          <w:p w14:paraId="79B8C65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409E26A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70F1BC2A"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A297710" w14:textId="77777777" w:rsidR="00AF136A" w:rsidRPr="002B0721" w:rsidRDefault="00AF136A" w:rsidP="00D92C6C">
            <w:pPr>
              <w:rPr>
                <w:sz w:val="18"/>
                <w:szCs w:val="18"/>
              </w:rPr>
            </w:pPr>
            <w:r w:rsidRPr="002B0721">
              <w:rPr>
                <w:sz w:val="18"/>
                <w:szCs w:val="18"/>
              </w:rPr>
              <w:t>1.7</w:t>
            </w:r>
          </w:p>
        </w:tc>
        <w:tc>
          <w:tcPr>
            <w:tcW w:w="3034" w:type="dxa"/>
          </w:tcPr>
          <w:p w14:paraId="03C9996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680DB55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06B345AB"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04CC8C00" w14:textId="77777777" w:rsidR="00AF136A" w:rsidRPr="002B0721" w:rsidRDefault="00AF136A" w:rsidP="00D92C6C">
            <w:pPr>
              <w:rPr>
                <w:sz w:val="18"/>
                <w:szCs w:val="18"/>
              </w:rPr>
            </w:pPr>
            <w:r w:rsidRPr="002B0721">
              <w:rPr>
                <w:sz w:val="18"/>
                <w:szCs w:val="18"/>
              </w:rPr>
              <w:t>1.9</w:t>
            </w:r>
          </w:p>
        </w:tc>
        <w:tc>
          <w:tcPr>
            <w:tcW w:w="3034" w:type="dxa"/>
          </w:tcPr>
          <w:p w14:paraId="36238F7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0D440CF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268458FC" w14:textId="77777777" w:rsidR="00AF136A" w:rsidRPr="002B0721" w:rsidRDefault="00AF136A" w:rsidP="00AF136A"/>
    <w:p w14:paraId="3E56874D" w14:textId="77777777" w:rsidR="00AF136A" w:rsidRPr="002B0721" w:rsidRDefault="00AF136A">
      <w:pPr>
        <w:spacing w:after="160" w:line="259" w:lineRule="auto"/>
        <w:jc w:val="left"/>
      </w:pPr>
      <w:r w:rsidRPr="002B0721">
        <w:br w:type="page"/>
      </w:r>
    </w:p>
    <w:p w14:paraId="189160F4" w14:textId="77777777" w:rsidR="00AF136A" w:rsidRPr="002B0721" w:rsidRDefault="00AF136A" w:rsidP="00AF136A">
      <w:pPr>
        <w:pStyle w:val="Heading2"/>
      </w:pPr>
      <w:r w:rsidRPr="002B0721">
        <w:t>7. pillér - Minőségbiztosítás és bizonyítékalapú irányítás (PDCA)</w:t>
      </w:r>
    </w:p>
    <w:p w14:paraId="1AEB0054" w14:textId="77777777" w:rsidR="00005E43" w:rsidRDefault="00032A4C">
      <w:pPr>
        <w:pStyle w:val="Infobox"/>
      </w:pPr>
      <w:r>
        <w:t xml:space="preserve">INFOBOX: Ebben a pillérben a program minőségbiztosítási működését és döntési ciklusait kell elemezni. Mutassa be, hogyan működik a PDCA-logika, kik a felelős szereplők, milyen bizottsági vagy vezetői fórumok kapcsolódnak a programhoz, és milyen adatok támasztják alá a döntéseket. Fontos kérdés, hogy a visszajelzésekből, mutatókból és külső elvárásokból keletkeznek-e következetes fejlesztési intézkedések, és ezek nyomon követhetők-e. A fejezet akkor jó, ha megmutatja a minőségbiztosítás gyakorlati működését, nem csak a formális szabályozását. </w:t>
      </w:r>
    </w:p>
    <w:p w14:paraId="1C412B2A" w14:textId="46D956FD" w:rsidR="00DA0DBC" w:rsidRDefault="00032A4C">
      <w:pPr>
        <w:pStyle w:val="Infobox"/>
      </w:pPr>
      <w:r>
        <w:t>Kapcsolódó ESG: 1.1 Minőségbiztosítási politika, 1.7 Információkezelés, 1.9 A képzési programok folyamatos figyelemmel kísérése és rendszeres értékelése, 1.10 Rendszeres külső minőségbiztosítás.</w:t>
      </w:r>
    </w:p>
    <w:p w14:paraId="2A69D33F" w14:textId="77777777" w:rsidR="00AF136A" w:rsidRPr="002B0721" w:rsidRDefault="00AF136A" w:rsidP="00AF136A">
      <w:pPr>
        <w:pStyle w:val="Heading3"/>
      </w:pPr>
      <w:r w:rsidRPr="002B0721">
        <w:t>A) Cél és kulcskérdések</w:t>
      </w:r>
    </w:p>
    <w:p w14:paraId="38D9F1E0"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kérdés&gt;&gt;</w:t>
      </w:r>
    </w:p>
    <w:p w14:paraId="6F1B8A4F" w14:textId="77777777" w:rsidR="00ED141A" w:rsidRPr="00ED141A" w:rsidRDefault="00ED141A" w:rsidP="00ED141A">
      <w:pPr>
        <w:pStyle w:val="ListParagraph"/>
        <w:numPr>
          <w:ilvl w:val="0"/>
          <w:numId w:val="3"/>
        </w:numPr>
        <w:rPr>
          <w:highlight w:val="yellow"/>
        </w:rPr>
      </w:pPr>
      <w:r w:rsidRPr="00ED141A">
        <w:rPr>
          <w:highlight w:val="yellow"/>
        </w:rPr>
        <w:t xml:space="preserve">Milyen a program PDCA-érettsége: van-e rendszeres </w:t>
      </w:r>
      <w:proofErr w:type="spellStart"/>
      <w:r w:rsidRPr="00ED141A">
        <w:rPr>
          <w:highlight w:val="yellow"/>
        </w:rPr>
        <w:t>review</w:t>
      </w:r>
      <w:proofErr w:type="spellEnd"/>
      <w:r w:rsidRPr="00ED141A">
        <w:rPr>
          <w:highlight w:val="yellow"/>
        </w:rPr>
        <w:t>, döntési fórum, felelősök, dokumentált intézkedések?</w:t>
      </w:r>
    </w:p>
    <w:p w14:paraId="0E95E1FA" w14:textId="77777777" w:rsidR="00ED141A" w:rsidRPr="00ED141A" w:rsidRDefault="00ED141A" w:rsidP="00ED141A">
      <w:pPr>
        <w:pStyle w:val="ListParagraph"/>
        <w:numPr>
          <w:ilvl w:val="0"/>
          <w:numId w:val="3"/>
        </w:numPr>
        <w:rPr>
          <w:highlight w:val="yellow"/>
        </w:rPr>
      </w:pPr>
      <w:r w:rsidRPr="00ED141A">
        <w:rPr>
          <w:highlight w:val="yellow"/>
        </w:rPr>
        <w:t xml:space="preserve">Milyen adatokra támaszkodnak (OMHV, előrehaladás, </w:t>
      </w:r>
      <w:proofErr w:type="spellStart"/>
      <w:r w:rsidRPr="00ED141A">
        <w:rPr>
          <w:highlight w:val="yellow"/>
        </w:rPr>
        <w:t>alumni</w:t>
      </w:r>
      <w:proofErr w:type="spellEnd"/>
      <w:r w:rsidRPr="00ED141A">
        <w:rPr>
          <w:highlight w:val="yellow"/>
        </w:rPr>
        <w:t>, munkaerőpiac, nemzetközi stb.), és milyen gyakorisággal?</w:t>
      </w:r>
    </w:p>
    <w:p w14:paraId="270AEF3E" w14:textId="77777777" w:rsidR="00ED141A" w:rsidRPr="00ED141A" w:rsidRDefault="00ED141A" w:rsidP="00ED141A">
      <w:pPr>
        <w:pStyle w:val="ListParagraph"/>
        <w:numPr>
          <w:ilvl w:val="0"/>
          <w:numId w:val="3"/>
        </w:numPr>
        <w:rPr>
          <w:highlight w:val="yellow"/>
        </w:rPr>
      </w:pPr>
      <w:r w:rsidRPr="00ED141A">
        <w:rPr>
          <w:highlight w:val="yellow"/>
        </w:rPr>
        <w:t>Van-e visszacsatolási napló és látszik-e, hogy a jelzésekből mi lett (elfogadva / elutasítva indokkal / folyamatban)?</w:t>
      </w:r>
    </w:p>
    <w:p w14:paraId="6988D292" w14:textId="77777777" w:rsidR="00ED141A" w:rsidRPr="00ED141A" w:rsidRDefault="00ED141A" w:rsidP="00ED141A">
      <w:pPr>
        <w:pStyle w:val="ListParagraph"/>
        <w:numPr>
          <w:ilvl w:val="0"/>
          <w:numId w:val="3"/>
        </w:numPr>
        <w:rPr>
          <w:highlight w:val="yellow"/>
        </w:rPr>
      </w:pPr>
      <w:r w:rsidRPr="00ED141A">
        <w:rPr>
          <w:highlight w:val="yellow"/>
        </w:rPr>
        <w:t>Mennyire „látható” a minőségbiztosítás a hallgatóknak és oktatóknak (transzparencia)?</w:t>
      </w:r>
    </w:p>
    <w:p w14:paraId="0C10BDE4" w14:textId="684625C6" w:rsidR="00ED141A" w:rsidRPr="00ED141A" w:rsidRDefault="00ED141A" w:rsidP="00ED141A">
      <w:pPr>
        <w:pStyle w:val="ListParagraph"/>
        <w:numPr>
          <w:ilvl w:val="0"/>
          <w:numId w:val="3"/>
        </w:numPr>
        <w:rPr>
          <w:highlight w:val="yellow"/>
        </w:rPr>
      </w:pPr>
      <w:r w:rsidRPr="00ED141A">
        <w:rPr>
          <w:highlight w:val="yellow"/>
        </w:rPr>
        <w:t>Külső megfelelés: hogyan épül be a rendszeres külső minőségbiztosítási elvárás (ESG 1.10)?</w:t>
      </w:r>
    </w:p>
    <w:p w14:paraId="38BC7DB2" w14:textId="52E3E68E" w:rsidR="00AF136A" w:rsidRPr="002B0721" w:rsidRDefault="00AF136A" w:rsidP="00AF136A">
      <w:pPr>
        <w:pStyle w:val="ListParagraph"/>
        <w:numPr>
          <w:ilvl w:val="0"/>
          <w:numId w:val="3"/>
        </w:numPr>
      </w:pPr>
      <w:r w:rsidRPr="002B0721">
        <w:t>&lt;&lt;KITÖLTENDŐ&gt;&gt;</w:t>
      </w:r>
    </w:p>
    <w:p w14:paraId="322EE4A4" w14:textId="77777777" w:rsidR="00AF136A" w:rsidRPr="002B0721" w:rsidRDefault="00AF136A" w:rsidP="00AF136A">
      <w:pPr>
        <w:pStyle w:val="Heading3"/>
      </w:pPr>
      <w:r w:rsidRPr="002B0721">
        <w:t>B) KPI-ok / mutatók</w:t>
      </w:r>
    </w:p>
    <w:p w14:paraId="4C062C49" w14:textId="77777777" w:rsidR="00AF136A" w:rsidRPr="002B0721" w:rsidRDefault="00AF136A" w:rsidP="00AF136A">
      <w:r w:rsidRPr="002B0721">
        <w:t>KPI / mutató tábla (trend + benchmark)</w:t>
      </w:r>
    </w:p>
    <w:tbl>
      <w:tblPr>
        <w:tblStyle w:val="GridTable5Dark-Accent1"/>
        <w:tblW w:w="0" w:type="auto"/>
        <w:tblLook w:val="04A0" w:firstRow="1" w:lastRow="0" w:firstColumn="1" w:lastColumn="0" w:noHBand="0" w:noVBand="1"/>
      </w:tblPr>
      <w:tblGrid>
        <w:gridCol w:w="1211"/>
        <w:gridCol w:w="1172"/>
        <w:gridCol w:w="1172"/>
        <w:gridCol w:w="1172"/>
        <w:gridCol w:w="1172"/>
        <w:gridCol w:w="1172"/>
        <w:gridCol w:w="1172"/>
        <w:gridCol w:w="819"/>
      </w:tblGrid>
      <w:tr w:rsidR="00A02026" w:rsidRPr="002B0721" w14:paraId="2B41BE1B"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23DDDC04" w14:textId="77777777" w:rsidR="00AF136A" w:rsidRPr="002B0721" w:rsidRDefault="00AF136A" w:rsidP="00D92C6C">
            <w:pPr>
              <w:rPr>
                <w:sz w:val="18"/>
                <w:szCs w:val="18"/>
              </w:rPr>
            </w:pPr>
            <w:r w:rsidRPr="002B0721">
              <w:rPr>
                <w:sz w:val="18"/>
                <w:szCs w:val="18"/>
              </w:rPr>
              <w:t>Mutató neve</w:t>
            </w:r>
          </w:p>
        </w:tc>
        <w:tc>
          <w:tcPr>
            <w:tcW w:w="1218" w:type="dxa"/>
          </w:tcPr>
          <w:p w14:paraId="114E43B9"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Definíció t</w:t>
            </w:r>
          </w:p>
        </w:tc>
        <w:tc>
          <w:tcPr>
            <w:tcW w:w="1218" w:type="dxa"/>
          </w:tcPr>
          <w:p w14:paraId="0288C184"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Adatforrás</w:t>
            </w:r>
          </w:p>
        </w:tc>
        <w:tc>
          <w:tcPr>
            <w:tcW w:w="1218" w:type="dxa"/>
          </w:tcPr>
          <w:p w14:paraId="537485F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218" w:type="dxa"/>
          </w:tcPr>
          <w:p w14:paraId="38456573"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1218" w:type="dxa"/>
          </w:tcPr>
          <w:p w14:paraId="5951C724"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Bázisérték</w:t>
            </w:r>
          </w:p>
        </w:tc>
        <w:tc>
          <w:tcPr>
            <w:tcW w:w="1218" w:type="dxa"/>
          </w:tcPr>
          <w:p w14:paraId="31518C2B"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Célérték</w:t>
            </w:r>
          </w:p>
        </w:tc>
        <w:tc>
          <w:tcPr>
            <w:tcW w:w="1218" w:type="dxa"/>
          </w:tcPr>
          <w:p w14:paraId="207B0A2A"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02026" w:rsidRPr="002B0721" w14:paraId="6C850039"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1426EB47" w14:textId="6555D151" w:rsidR="00AF136A" w:rsidRPr="00DB3788" w:rsidRDefault="00A02026" w:rsidP="00D92C6C">
            <w:pPr>
              <w:rPr>
                <w:sz w:val="18"/>
                <w:szCs w:val="18"/>
                <w:highlight w:val="yellow"/>
              </w:rPr>
            </w:pPr>
            <w:r w:rsidRPr="00DB3788">
              <w:rPr>
                <w:sz w:val="18"/>
                <w:szCs w:val="18"/>
                <w:highlight w:val="yellow"/>
              </w:rPr>
              <w:t>Felülvizsgálati-ciklus fegyelme</w:t>
            </w:r>
          </w:p>
        </w:tc>
        <w:tc>
          <w:tcPr>
            <w:tcW w:w="1218" w:type="dxa"/>
          </w:tcPr>
          <w:p w14:paraId="341CB1A0" w14:textId="16E53719" w:rsidR="00AF136A" w:rsidRPr="00032A4C" w:rsidRDefault="00A0202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Szakbizottsági ülések rendszeressége, képzésfejlesztés és minőségbiztosítás céljával m</w:t>
            </w:r>
            <w:r w:rsidR="00BD72F3" w:rsidRPr="00032A4C">
              <w:rPr>
                <w:sz w:val="18"/>
                <w:szCs w:val="18"/>
                <w:highlight w:val="yellow"/>
              </w:rPr>
              <w:t>egtartott ülések száma tanévenként</w:t>
            </w:r>
          </w:p>
        </w:tc>
        <w:tc>
          <w:tcPr>
            <w:tcW w:w="1218" w:type="dxa"/>
          </w:tcPr>
          <w:p w14:paraId="4BD70EC2" w14:textId="0EDBCBF8" w:rsidR="00AF136A" w:rsidRPr="00032A4C" w:rsidRDefault="00BD72F3"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Szakfelelős</w:t>
            </w:r>
            <w:r w:rsidR="00A02026">
              <w:rPr>
                <w:sz w:val="18"/>
                <w:szCs w:val="18"/>
                <w:highlight w:val="yellow"/>
              </w:rPr>
              <w:t>, Kari Minőségbiztosítási Bizottság</w:t>
            </w:r>
          </w:p>
        </w:tc>
        <w:tc>
          <w:tcPr>
            <w:tcW w:w="1218" w:type="dxa"/>
          </w:tcPr>
          <w:p w14:paraId="145DF4D5" w14:textId="4659192E" w:rsidR="00AF136A" w:rsidRPr="00032A4C" w:rsidRDefault="00BD72F3"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2020-2025</w:t>
            </w:r>
          </w:p>
        </w:tc>
        <w:tc>
          <w:tcPr>
            <w:tcW w:w="1218" w:type="dxa"/>
          </w:tcPr>
          <w:p w14:paraId="73864660" w14:textId="0B58A979" w:rsidR="00AF136A" w:rsidRPr="00032A4C" w:rsidRDefault="00BD72F3"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w:t>
            </w:r>
          </w:p>
        </w:tc>
        <w:tc>
          <w:tcPr>
            <w:tcW w:w="1218" w:type="dxa"/>
          </w:tcPr>
          <w:p w14:paraId="0146B728"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10ED2AC3"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58E3B47"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A02026" w:rsidRPr="002B0721" w14:paraId="0CE5BD8F"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456682D1" w14:textId="435FFE01" w:rsidR="00AF136A" w:rsidRPr="00DB3788" w:rsidRDefault="00ED141A" w:rsidP="00D92C6C">
            <w:pPr>
              <w:rPr>
                <w:sz w:val="18"/>
                <w:szCs w:val="18"/>
                <w:highlight w:val="yellow"/>
              </w:rPr>
            </w:pPr>
            <w:r w:rsidRPr="00DB3788">
              <w:rPr>
                <w:sz w:val="18"/>
                <w:szCs w:val="18"/>
                <w:highlight w:val="yellow"/>
              </w:rPr>
              <w:t>Adatminőség / lefedettség</w:t>
            </w:r>
          </w:p>
        </w:tc>
        <w:tc>
          <w:tcPr>
            <w:tcW w:w="1218" w:type="dxa"/>
          </w:tcPr>
          <w:p w14:paraId="08B56C5D" w14:textId="7C0B6D3D" w:rsidR="00AF136A" w:rsidRPr="00032A4C" w:rsidRDefault="00A0202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 xml:space="preserve">Rendelkezésre álló </w:t>
            </w:r>
            <w:proofErr w:type="spellStart"/>
            <w:r>
              <w:rPr>
                <w:sz w:val="18"/>
                <w:szCs w:val="18"/>
                <w:highlight w:val="yellow"/>
              </w:rPr>
              <w:t>vs</w:t>
            </w:r>
            <w:proofErr w:type="spellEnd"/>
            <w:r>
              <w:rPr>
                <w:sz w:val="18"/>
                <w:szCs w:val="18"/>
                <w:highlight w:val="yellow"/>
              </w:rPr>
              <w:t>. szükségesnek ítélt adatforrás aránya.</w:t>
            </w:r>
          </w:p>
        </w:tc>
        <w:tc>
          <w:tcPr>
            <w:tcW w:w="1218" w:type="dxa"/>
          </w:tcPr>
          <w:p w14:paraId="330AD67F" w14:textId="626FD4F3" w:rsidR="00AF136A" w:rsidRPr="00032A4C" w:rsidRDefault="00A0202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Háttéranyagok – képzésfejlesztési dokumentum</w:t>
            </w:r>
          </w:p>
        </w:tc>
        <w:tc>
          <w:tcPr>
            <w:tcW w:w="1218" w:type="dxa"/>
          </w:tcPr>
          <w:p w14:paraId="41D38E25" w14:textId="4A7BD789" w:rsidR="00AF136A" w:rsidRPr="00032A4C" w:rsidRDefault="00A0202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6C00EA45" w14:textId="6572D0E7" w:rsidR="00AF136A" w:rsidRPr="00032A4C" w:rsidRDefault="00A0202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7A28482F"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6661B4C"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63225ED"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A02026" w:rsidRPr="002B0721" w14:paraId="003EB925"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64A5BCDC" w14:textId="251FA132" w:rsidR="00AF136A" w:rsidRPr="00DB3788" w:rsidRDefault="00ED141A" w:rsidP="00D92C6C">
            <w:pPr>
              <w:rPr>
                <w:sz w:val="18"/>
                <w:szCs w:val="18"/>
                <w:highlight w:val="yellow"/>
              </w:rPr>
            </w:pPr>
            <w:r w:rsidRPr="00DB3788">
              <w:rPr>
                <w:sz w:val="18"/>
                <w:szCs w:val="18"/>
                <w:highlight w:val="yellow"/>
              </w:rPr>
              <w:t>Intézkedések lezárási aránya</w:t>
            </w:r>
          </w:p>
        </w:tc>
        <w:tc>
          <w:tcPr>
            <w:tcW w:w="1218" w:type="dxa"/>
          </w:tcPr>
          <w:p w14:paraId="454B40AD" w14:textId="651FE130" w:rsidR="00AF136A" w:rsidRPr="00032A4C" w:rsidRDefault="00ED141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A</w:t>
            </w:r>
            <w:r w:rsidR="00A02026">
              <w:rPr>
                <w:sz w:val="18"/>
                <w:szCs w:val="18"/>
                <w:highlight w:val="yellow"/>
              </w:rPr>
              <w:t>z intézkedéssel járó visszajelzések, megállapítások abszolválási aránya</w:t>
            </w:r>
          </w:p>
        </w:tc>
        <w:tc>
          <w:tcPr>
            <w:tcW w:w="1218" w:type="dxa"/>
          </w:tcPr>
          <w:p w14:paraId="72FD173E" w14:textId="5D5AF599" w:rsidR="00AF136A" w:rsidRPr="00032A4C" w:rsidRDefault="00A0202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Szakbizottság</w:t>
            </w:r>
          </w:p>
        </w:tc>
        <w:tc>
          <w:tcPr>
            <w:tcW w:w="1218" w:type="dxa"/>
          </w:tcPr>
          <w:p w14:paraId="7271A307" w14:textId="5A980680" w:rsidR="00AF136A" w:rsidRPr="00032A4C" w:rsidRDefault="00A0202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0C8826FA" w14:textId="0E7FF96C" w:rsidR="00AF136A" w:rsidRPr="00032A4C" w:rsidRDefault="00A0202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5E4BF9CB"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23BACAB2"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FFEE25C"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A02026" w:rsidRPr="002B0721" w14:paraId="454F8BD4"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01516C21" w14:textId="3C818250" w:rsidR="00AF136A" w:rsidRPr="00DB3788" w:rsidRDefault="00ED141A" w:rsidP="00D92C6C">
            <w:pPr>
              <w:rPr>
                <w:sz w:val="18"/>
                <w:szCs w:val="18"/>
                <w:highlight w:val="yellow"/>
              </w:rPr>
            </w:pPr>
            <w:r w:rsidRPr="00DB3788">
              <w:rPr>
                <w:sz w:val="18"/>
                <w:szCs w:val="18"/>
                <w:highlight w:val="yellow"/>
              </w:rPr>
              <w:t>Á</w:t>
            </w:r>
            <w:r w:rsidRPr="00DB3788">
              <w:rPr>
                <w:sz w:val="18"/>
                <w:szCs w:val="18"/>
                <w:highlight w:val="yellow"/>
              </w:rPr>
              <w:t>tlagos</w:t>
            </w:r>
            <w:r w:rsidRPr="00DB3788">
              <w:rPr>
                <w:sz w:val="18"/>
                <w:szCs w:val="18"/>
                <w:highlight w:val="yellow"/>
              </w:rPr>
              <w:t xml:space="preserve"> intézkedési reakcióidő</w:t>
            </w:r>
          </w:p>
        </w:tc>
        <w:tc>
          <w:tcPr>
            <w:tcW w:w="1218" w:type="dxa"/>
          </w:tcPr>
          <w:p w14:paraId="2BADDD7F" w14:textId="30FC05D1" w:rsidR="00AF136A" w:rsidRPr="00032A4C" w:rsidRDefault="00ED141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A visszajelzés kapástól, megállapítástól az intézkedés eszközléséig eltelt átlagos idő (nap / hónap)</w:t>
            </w:r>
          </w:p>
        </w:tc>
        <w:tc>
          <w:tcPr>
            <w:tcW w:w="1218" w:type="dxa"/>
          </w:tcPr>
          <w:p w14:paraId="48171921" w14:textId="3C0D17E8" w:rsidR="00AF136A" w:rsidRPr="00032A4C" w:rsidRDefault="00A0202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Szakbizottság</w:t>
            </w:r>
          </w:p>
        </w:tc>
        <w:tc>
          <w:tcPr>
            <w:tcW w:w="1218" w:type="dxa"/>
          </w:tcPr>
          <w:p w14:paraId="392BEACB" w14:textId="7B86BD23" w:rsidR="00AF136A" w:rsidRPr="00032A4C" w:rsidRDefault="00A0202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64DB457C" w14:textId="1E5DDF4C" w:rsidR="00AF136A" w:rsidRPr="00032A4C" w:rsidRDefault="00A0202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4B059AC9"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310FEAB6"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AAC0BDA"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A02026" w:rsidRPr="002B0721" w14:paraId="01C53684"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17B4117F" w14:textId="77777777" w:rsidR="00AF136A" w:rsidRPr="00ED141A" w:rsidRDefault="00AF136A" w:rsidP="00D92C6C">
            <w:pPr>
              <w:rPr>
                <w:sz w:val="18"/>
                <w:szCs w:val="18"/>
              </w:rPr>
            </w:pPr>
            <w:r w:rsidRPr="00ED141A">
              <w:rPr>
                <w:sz w:val="18"/>
                <w:szCs w:val="18"/>
              </w:rPr>
              <w:t>&lt;&lt;KITÖLTENDŐ&gt;&gt;</w:t>
            </w:r>
          </w:p>
        </w:tc>
        <w:tc>
          <w:tcPr>
            <w:tcW w:w="1218" w:type="dxa"/>
          </w:tcPr>
          <w:p w14:paraId="720FE191"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64D6CDD"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356376C"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D98FB9B"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0F94D30"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7130927"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052C110"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A02026" w:rsidRPr="002B0721" w14:paraId="3CFF8EAC"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05C9262C" w14:textId="77777777" w:rsidR="00AF136A" w:rsidRPr="00ED141A" w:rsidRDefault="00AF136A" w:rsidP="00D92C6C">
            <w:pPr>
              <w:rPr>
                <w:sz w:val="18"/>
                <w:szCs w:val="18"/>
              </w:rPr>
            </w:pPr>
            <w:r w:rsidRPr="00ED141A">
              <w:rPr>
                <w:sz w:val="18"/>
                <w:szCs w:val="18"/>
              </w:rPr>
              <w:t>&lt;&lt;KITÖLTENDŐ&gt;&gt;</w:t>
            </w:r>
          </w:p>
        </w:tc>
        <w:tc>
          <w:tcPr>
            <w:tcW w:w="1218" w:type="dxa"/>
          </w:tcPr>
          <w:p w14:paraId="10CA1B06"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347B7FD9"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0E46EAE"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676C5F0"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25947DA4"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CA4C40F"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802583A"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bl>
    <w:p w14:paraId="33114203" w14:textId="77777777" w:rsidR="00AF136A" w:rsidRPr="002B0721" w:rsidRDefault="00AF136A" w:rsidP="00AF136A">
      <w:pPr>
        <w:pStyle w:val="Heading3"/>
      </w:pPr>
      <w:r w:rsidRPr="002B0721">
        <w:t xml:space="preserve">C) Elemzések és ábrák </w:t>
      </w:r>
    </w:p>
    <w:p w14:paraId="381E4BA6"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7D4901FB"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Szegmentáció (ha releváns)</w:t>
      </w:r>
    </w:p>
    <w:p w14:paraId="74DE02DA"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Benchmark (ha elérhető)</w:t>
      </w:r>
    </w:p>
    <w:p w14:paraId="04204B07"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65EAF952"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Kritikus pontok (tantárgyak) / kritikus tanulmányi utal </w:t>
      </w:r>
    </w:p>
    <w:p w14:paraId="026BBE52" w14:textId="77777777" w:rsidR="00AF136A" w:rsidRPr="002B0721" w:rsidRDefault="00AF136A" w:rsidP="00AF136A">
      <w:pPr>
        <w:pStyle w:val="Heading3"/>
      </w:pPr>
      <w:r w:rsidRPr="002B0721">
        <w:t>D) Fő megállapítások</w:t>
      </w:r>
    </w:p>
    <w:p w14:paraId="7A71091B" w14:textId="77777777" w:rsidR="00AF136A" w:rsidRPr="002B0721" w:rsidRDefault="00AF136A" w:rsidP="00AF136A">
      <w:r w:rsidRPr="002B0721">
        <w:rPr>
          <w:i/>
          <w:color w:val="005A9C"/>
        </w:rPr>
        <w:t>&lt;&lt;3-7 pont&gt;&gt;</w:t>
      </w:r>
    </w:p>
    <w:p w14:paraId="1B3ED74B" w14:textId="20A41C57" w:rsidR="00A02026" w:rsidRPr="00A02026" w:rsidRDefault="00A02026" w:rsidP="00A02026">
      <w:pPr>
        <w:pStyle w:val="ListParagraph"/>
        <w:numPr>
          <w:ilvl w:val="0"/>
          <w:numId w:val="6"/>
        </w:numPr>
        <w:rPr>
          <w:highlight w:val="yellow"/>
        </w:rPr>
      </w:pPr>
      <w:r w:rsidRPr="00A02026">
        <w:rPr>
          <w:highlight w:val="yellow"/>
        </w:rPr>
        <w:t>A szabályozás létezik, de a működés nem követhető (nincs napló / nincs visszamérés).</w:t>
      </w:r>
    </w:p>
    <w:p w14:paraId="26A13748" w14:textId="5A47A41D" w:rsidR="00A02026" w:rsidRDefault="00A02026" w:rsidP="00A02026">
      <w:pPr>
        <w:pStyle w:val="ListParagraph"/>
        <w:numPr>
          <w:ilvl w:val="0"/>
          <w:numId w:val="6"/>
        </w:numPr>
        <w:rPr>
          <w:highlight w:val="yellow"/>
        </w:rPr>
      </w:pPr>
      <w:r w:rsidRPr="00A02026">
        <w:rPr>
          <w:highlight w:val="yellow"/>
        </w:rPr>
        <w:t xml:space="preserve">Sok adat van, de nincs közös értelmezési rend </w:t>
      </w:r>
      <w:r w:rsidRPr="00A02026">
        <w:rPr>
          <w:rFonts w:ascii="Times New Roman" w:hAnsi="Times New Roman" w:cs="Times New Roman"/>
          <w:highlight w:val="yellow"/>
        </w:rPr>
        <w:t>→</w:t>
      </w:r>
      <w:r w:rsidRPr="00A02026">
        <w:rPr>
          <w:highlight w:val="yellow"/>
        </w:rPr>
        <w:t xml:space="preserve"> d</w:t>
      </w:r>
      <w:r w:rsidRPr="00A02026">
        <w:rPr>
          <w:rFonts w:cs="Palatino Linotype"/>
          <w:highlight w:val="yellow"/>
        </w:rPr>
        <w:t>ö</w:t>
      </w:r>
      <w:r w:rsidRPr="00A02026">
        <w:rPr>
          <w:highlight w:val="yellow"/>
        </w:rPr>
        <w:t>nt</w:t>
      </w:r>
      <w:r w:rsidRPr="00A02026">
        <w:rPr>
          <w:rFonts w:cs="Palatino Linotype"/>
          <w:highlight w:val="yellow"/>
        </w:rPr>
        <w:t>é</w:t>
      </w:r>
      <w:r w:rsidRPr="00A02026">
        <w:rPr>
          <w:highlight w:val="yellow"/>
        </w:rPr>
        <w:t xml:space="preserve">s nem </w:t>
      </w:r>
      <w:r w:rsidRPr="00A02026">
        <w:rPr>
          <w:highlight w:val="yellow"/>
        </w:rPr>
        <w:t xml:space="preserve">születik </w:t>
      </w:r>
      <w:r w:rsidRPr="00A02026">
        <w:rPr>
          <w:highlight w:val="yellow"/>
        </w:rPr>
        <w:t>bel</w:t>
      </w:r>
      <w:r w:rsidRPr="00A02026">
        <w:rPr>
          <w:rFonts w:cs="Palatino Linotype"/>
          <w:highlight w:val="yellow"/>
        </w:rPr>
        <w:t>ő</w:t>
      </w:r>
      <w:r w:rsidRPr="00A02026">
        <w:rPr>
          <w:highlight w:val="yellow"/>
        </w:rPr>
        <w:t>le.</w:t>
      </w:r>
    </w:p>
    <w:p w14:paraId="44A3C1FA" w14:textId="774BDAAA" w:rsidR="00A02026" w:rsidRPr="00A02026" w:rsidRDefault="00A02026" w:rsidP="00A02026">
      <w:pPr>
        <w:pStyle w:val="ListParagraph"/>
        <w:numPr>
          <w:ilvl w:val="0"/>
          <w:numId w:val="6"/>
        </w:numPr>
        <w:rPr>
          <w:highlight w:val="yellow"/>
        </w:rPr>
      </w:pPr>
      <w:r>
        <w:rPr>
          <w:highlight w:val="yellow"/>
        </w:rPr>
        <w:t xml:space="preserve">Sok visszajelzés érkezik, melyekre feloldására döntési opció is született azonban ezek nem kerültek végrehajtásra </w:t>
      </w:r>
      <w:r w:rsidRPr="00A02026">
        <w:rPr>
          <w:rFonts w:ascii="Times New Roman" w:hAnsi="Times New Roman" w:cs="Times New Roman"/>
          <w:highlight w:val="yellow"/>
        </w:rPr>
        <w:t>→</w:t>
      </w:r>
      <w:r>
        <w:rPr>
          <w:rFonts w:ascii="Times New Roman" w:hAnsi="Times New Roman" w:cs="Times New Roman"/>
          <w:highlight w:val="yellow"/>
        </w:rPr>
        <w:t xml:space="preserve"> nem volt felelőse az kivitelezéssel járó feladatoknak.</w:t>
      </w:r>
    </w:p>
    <w:p w14:paraId="4529ABD0" w14:textId="00C52821" w:rsidR="00AF136A" w:rsidRPr="002B0721" w:rsidRDefault="00AF136A" w:rsidP="00AF136A">
      <w:pPr>
        <w:pStyle w:val="ListParagraph"/>
        <w:numPr>
          <w:ilvl w:val="0"/>
          <w:numId w:val="6"/>
        </w:numPr>
      </w:pPr>
      <w:r w:rsidRPr="002B0721">
        <w:t>&lt;&lt;KITÖLTENDŐ&gt;&gt;</w:t>
      </w:r>
    </w:p>
    <w:p w14:paraId="6AB133E9" w14:textId="77777777" w:rsidR="00AF136A" w:rsidRPr="002B0721" w:rsidRDefault="00AF136A" w:rsidP="00AF136A">
      <w:pPr>
        <w:pStyle w:val="Heading3"/>
      </w:pPr>
      <w:r w:rsidRPr="002B0721">
        <w:t>E) Döntési opciók</w:t>
      </w:r>
    </w:p>
    <w:p w14:paraId="2B215A52" w14:textId="77777777" w:rsidR="00AF136A" w:rsidRPr="002B0721" w:rsidRDefault="00AF136A" w:rsidP="00AF136A">
      <w:r w:rsidRPr="002B0721">
        <w:t>Döntési opciók (min. 2-3 alternatíva)</w:t>
      </w:r>
    </w:p>
    <w:tbl>
      <w:tblPr>
        <w:tblStyle w:val="GridTable5Dark-Accent1"/>
        <w:tblW w:w="0" w:type="auto"/>
        <w:tblLook w:val="04A0" w:firstRow="1" w:lastRow="0" w:firstColumn="1" w:lastColumn="0" w:noHBand="0" w:noVBand="1"/>
      </w:tblPr>
      <w:tblGrid>
        <w:gridCol w:w="698"/>
        <w:gridCol w:w="1966"/>
        <w:gridCol w:w="1253"/>
        <w:gridCol w:w="1715"/>
        <w:gridCol w:w="1715"/>
        <w:gridCol w:w="1715"/>
      </w:tblGrid>
      <w:tr w:rsidR="00AF136A" w:rsidRPr="002B0721" w14:paraId="5216615A" w14:textId="77777777" w:rsidTr="00A020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8" w:type="dxa"/>
          </w:tcPr>
          <w:p w14:paraId="3992CC1D" w14:textId="77777777" w:rsidR="00AF136A" w:rsidRPr="002B0721" w:rsidRDefault="00AF136A" w:rsidP="00D92C6C">
            <w:pPr>
              <w:rPr>
                <w:sz w:val="18"/>
                <w:szCs w:val="18"/>
              </w:rPr>
            </w:pPr>
            <w:r w:rsidRPr="002B0721">
              <w:rPr>
                <w:sz w:val="18"/>
                <w:szCs w:val="18"/>
              </w:rPr>
              <w:t>Opció</w:t>
            </w:r>
          </w:p>
        </w:tc>
        <w:tc>
          <w:tcPr>
            <w:tcW w:w="1966" w:type="dxa"/>
          </w:tcPr>
          <w:p w14:paraId="4FAD4395"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Leírás</w:t>
            </w:r>
          </w:p>
        </w:tc>
        <w:tc>
          <w:tcPr>
            <w:tcW w:w="1253" w:type="dxa"/>
          </w:tcPr>
          <w:p w14:paraId="45069D2B"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 (KPI)</w:t>
            </w:r>
          </w:p>
        </w:tc>
        <w:tc>
          <w:tcPr>
            <w:tcW w:w="1715" w:type="dxa"/>
          </w:tcPr>
          <w:p w14:paraId="29C865FF"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Erőforrásigény / költség</w:t>
            </w:r>
          </w:p>
        </w:tc>
        <w:tc>
          <w:tcPr>
            <w:tcW w:w="1715" w:type="dxa"/>
          </w:tcPr>
          <w:p w14:paraId="07FDA648"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 (hónap)</w:t>
            </w:r>
          </w:p>
        </w:tc>
        <w:tc>
          <w:tcPr>
            <w:tcW w:w="1715" w:type="dxa"/>
          </w:tcPr>
          <w:p w14:paraId="28E0C5F0"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Fő kockázat + </w:t>
            </w:r>
            <w:proofErr w:type="spellStart"/>
            <w:r w:rsidRPr="002B0721">
              <w:rPr>
                <w:sz w:val="18"/>
                <w:szCs w:val="18"/>
              </w:rPr>
              <w:t>mitigáció</w:t>
            </w:r>
            <w:proofErr w:type="spellEnd"/>
          </w:p>
        </w:tc>
      </w:tr>
      <w:tr w:rsidR="00A02026" w:rsidRPr="002B0721" w14:paraId="59862074" w14:textId="77777777" w:rsidTr="00A02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FA19961" w14:textId="77777777" w:rsidR="00A02026" w:rsidRPr="002B0721" w:rsidRDefault="00A02026" w:rsidP="00A02026">
            <w:pPr>
              <w:rPr>
                <w:sz w:val="18"/>
                <w:szCs w:val="18"/>
              </w:rPr>
            </w:pPr>
            <w:r w:rsidRPr="002B0721">
              <w:rPr>
                <w:sz w:val="18"/>
                <w:szCs w:val="18"/>
              </w:rPr>
              <w:t>Opció 1</w:t>
            </w:r>
          </w:p>
        </w:tc>
        <w:tc>
          <w:tcPr>
            <w:tcW w:w="1966" w:type="dxa"/>
          </w:tcPr>
          <w:p w14:paraId="3585F65B" w14:textId="594B8C46"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rFonts w:eastAsia="Noto Sans" w:cs="Noto Sans"/>
                <w:kern w:val="24"/>
                <w:sz w:val="18"/>
                <w:szCs w:val="18"/>
                <w:highlight w:val="yellow"/>
              </w:rPr>
              <w:t>Programfelülvizsgálat, szakbizottsági ülés minimum standard (éves menetrend + kötelező inputok + output: döntési lista)</w:t>
            </w:r>
          </w:p>
        </w:tc>
        <w:tc>
          <w:tcPr>
            <w:tcW w:w="1253" w:type="dxa"/>
          </w:tcPr>
          <w:p w14:paraId="6F48CBE9" w14:textId="294FEE3C"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Minden megnevezett KPI-</w:t>
            </w:r>
            <w:proofErr w:type="spellStart"/>
            <w:r w:rsidRPr="00A02026">
              <w:rPr>
                <w:sz w:val="18"/>
                <w:szCs w:val="18"/>
                <w:highlight w:val="yellow"/>
              </w:rPr>
              <w:t>ra</w:t>
            </w:r>
            <w:proofErr w:type="spellEnd"/>
            <w:r w:rsidRPr="00A02026">
              <w:rPr>
                <w:sz w:val="18"/>
                <w:szCs w:val="18"/>
                <w:highlight w:val="yellow"/>
              </w:rPr>
              <w:t xml:space="preserve"> közvetett hatás</w:t>
            </w:r>
          </w:p>
        </w:tc>
        <w:tc>
          <w:tcPr>
            <w:tcW w:w="1715" w:type="dxa"/>
          </w:tcPr>
          <w:p w14:paraId="56C39517" w14:textId="77777777"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283B7F7B" w14:textId="77777777"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0D964949" w14:textId="77777777"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&lt;&lt;KITÖLTENDŐ&gt;&gt;</w:t>
            </w:r>
          </w:p>
        </w:tc>
      </w:tr>
      <w:tr w:rsidR="00A02026" w:rsidRPr="002B0721" w14:paraId="021D3A18" w14:textId="77777777" w:rsidTr="00A02026">
        <w:tc>
          <w:tcPr>
            <w:cnfStyle w:val="001000000000" w:firstRow="0" w:lastRow="0" w:firstColumn="1" w:lastColumn="0" w:oddVBand="0" w:evenVBand="0" w:oddHBand="0" w:evenHBand="0" w:firstRowFirstColumn="0" w:firstRowLastColumn="0" w:lastRowFirstColumn="0" w:lastRowLastColumn="0"/>
            <w:tcW w:w="698" w:type="dxa"/>
          </w:tcPr>
          <w:p w14:paraId="0997DF0E" w14:textId="77777777" w:rsidR="00A02026" w:rsidRPr="002B0721" w:rsidRDefault="00A02026" w:rsidP="00A02026">
            <w:pPr>
              <w:rPr>
                <w:sz w:val="18"/>
                <w:szCs w:val="18"/>
              </w:rPr>
            </w:pPr>
            <w:r w:rsidRPr="002B0721">
              <w:rPr>
                <w:sz w:val="18"/>
                <w:szCs w:val="18"/>
              </w:rPr>
              <w:t>Opció 2</w:t>
            </w:r>
          </w:p>
        </w:tc>
        <w:tc>
          <w:tcPr>
            <w:tcW w:w="1966" w:type="dxa"/>
          </w:tcPr>
          <w:p w14:paraId="2254D88E" w14:textId="29C5144B"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rFonts w:eastAsia="Noto Sans" w:cs="Noto Sans"/>
                <w:kern w:val="24"/>
                <w:sz w:val="18"/>
                <w:szCs w:val="18"/>
                <w:highlight w:val="yellow"/>
              </w:rPr>
              <w:t>Visszacsatolási napló bevezetése/erősítése (publikus kivonattal)</w:t>
            </w:r>
          </w:p>
        </w:tc>
        <w:tc>
          <w:tcPr>
            <w:tcW w:w="1253" w:type="dxa"/>
          </w:tcPr>
          <w:p w14:paraId="2C048977" w14:textId="0D03E36A"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Intézkedések lezárási aránya</w:t>
            </w:r>
          </w:p>
        </w:tc>
        <w:tc>
          <w:tcPr>
            <w:tcW w:w="1715" w:type="dxa"/>
          </w:tcPr>
          <w:p w14:paraId="451A77D1" w14:textId="77777777"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237361BF" w14:textId="77777777"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1C79A78B" w14:textId="77777777"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&lt;&lt;KITÖLTENDŐ&gt;&gt;</w:t>
            </w:r>
          </w:p>
        </w:tc>
      </w:tr>
      <w:tr w:rsidR="00A02026" w:rsidRPr="002B0721" w14:paraId="3443A4CF" w14:textId="77777777" w:rsidTr="00A02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 w:type="dxa"/>
          </w:tcPr>
          <w:p w14:paraId="364A5FD8" w14:textId="77777777" w:rsidR="00A02026" w:rsidRPr="002B0721" w:rsidRDefault="00A02026" w:rsidP="00A02026">
            <w:pPr>
              <w:rPr>
                <w:sz w:val="18"/>
                <w:szCs w:val="18"/>
              </w:rPr>
            </w:pPr>
            <w:r w:rsidRPr="002B0721">
              <w:rPr>
                <w:sz w:val="18"/>
                <w:szCs w:val="18"/>
              </w:rPr>
              <w:t>Opció 3</w:t>
            </w:r>
          </w:p>
        </w:tc>
        <w:tc>
          <w:tcPr>
            <w:tcW w:w="1966" w:type="dxa"/>
          </w:tcPr>
          <w:p w14:paraId="5E4BB2FE" w14:textId="393A8C07"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rFonts w:eastAsia="Noto Sans" w:cs="Noto Sans"/>
                <w:kern w:val="24"/>
                <w:sz w:val="18"/>
                <w:szCs w:val="18"/>
                <w:highlight w:val="yellow"/>
              </w:rPr>
              <w:t>KPI</w:t>
            </w:r>
            <w:r w:rsidRPr="00A02026">
              <w:rPr>
                <w:rFonts w:eastAsia="Noto Sans" w:cs="Noto Sans"/>
                <w:kern w:val="24"/>
                <w:sz w:val="18"/>
                <w:szCs w:val="18"/>
                <w:highlight w:val="yellow"/>
              </w:rPr>
              <w:noBreakHyphen/>
            </w:r>
            <w:proofErr w:type="spellStart"/>
            <w:r w:rsidRPr="00A02026">
              <w:rPr>
                <w:rFonts w:eastAsia="Noto Sans" w:cs="Noto Sans"/>
                <w:kern w:val="24"/>
                <w:sz w:val="18"/>
                <w:szCs w:val="18"/>
                <w:highlight w:val="yellow"/>
              </w:rPr>
              <w:t>dashboard</w:t>
            </w:r>
            <w:proofErr w:type="spellEnd"/>
            <w:r w:rsidRPr="00A02026">
              <w:rPr>
                <w:rFonts w:eastAsia="Noto Sans" w:cs="Noto Sans"/>
                <w:kern w:val="24"/>
                <w:sz w:val="18"/>
                <w:szCs w:val="18"/>
                <w:highlight w:val="yellow"/>
              </w:rPr>
              <w:t xml:space="preserve"> + felelősségi rend (ki nézi, mikor, mit tesz)</w:t>
            </w:r>
          </w:p>
        </w:tc>
        <w:tc>
          <w:tcPr>
            <w:tcW w:w="1253" w:type="dxa"/>
          </w:tcPr>
          <w:p w14:paraId="191E9CBB" w14:textId="5A271E33"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Adatminőség / lefedettség</w:t>
            </w:r>
          </w:p>
        </w:tc>
        <w:tc>
          <w:tcPr>
            <w:tcW w:w="1715" w:type="dxa"/>
          </w:tcPr>
          <w:p w14:paraId="466F7F56" w14:textId="77777777"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3E74D212" w14:textId="77777777"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22ABCF7D" w14:textId="77777777" w:rsidR="00A02026" w:rsidRPr="00A02026" w:rsidRDefault="00A02026" w:rsidP="00A02026">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A02026">
              <w:rPr>
                <w:sz w:val="18"/>
                <w:szCs w:val="18"/>
                <w:highlight w:val="yellow"/>
              </w:rPr>
              <w:t>&lt;&lt;KITÖLTENDŐ&gt;&gt;</w:t>
            </w:r>
          </w:p>
        </w:tc>
      </w:tr>
      <w:tr w:rsidR="00A02026" w:rsidRPr="002B0721" w14:paraId="3E965873" w14:textId="77777777" w:rsidTr="00A02026">
        <w:tc>
          <w:tcPr>
            <w:cnfStyle w:val="001000000000" w:firstRow="0" w:lastRow="0" w:firstColumn="1" w:lastColumn="0" w:oddVBand="0" w:evenVBand="0" w:oddHBand="0" w:evenHBand="0" w:firstRowFirstColumn="0" w:firstRowLastColumn="0" w:lastRowFirstColumn="0" w:lastRowLastColumn="0"/>
            <w:tcW w:w="698" w:type="dxa"/>
          </w:tcPr>
          <w:p w14:paraId="06A7415B" w14:textId="6E7050C1" w:rsidR="00A02026" w:rsidRPr="002B0721" w:rsidRDefault="00A02026" w:rsidP="00A02026">
            <w:pPr>
              <w:rPr>
                <w:sz w:val="18"/>
                <w:szCs w:val="18"/>
              </w:rPr>
            </w:pPr>
            <w:r>
              <w:rPr>
                <w:sz w:val="18"/>
                <w:szCs w:val="18"/>
              </w:rPr>
              <w:t>Opció 4</w:t>
            </w:r>
          </w:p>
        </w:tc>
        <w:tc>
          <w:tcPr>
            <w:tcW w:w="1966" w:type="dxa"/>
          </w:tcPr>
          <w:p w14:paraId="5982EF0A" w14:textId="161AAD25"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rFonts w:eastAsia="Noto Sans" w:cs="Noto Sans"/>
                <w:kern w:val="24"/>
                <w:sz w:val="18"/>
                <w:szCs w:val="18"/>
                <w:highlight w:val="yellow"/>
              </w:rPr>
              <w:t xml:space="preserve">Beavatkozások „pilot + </w:t>
            </w:r>
            <w:proofErr w:type="spellStart"/>
            <w:r w:rsidRPr="00A02026">
              <w:rPr>
                <w:rFonts w:eastAsia="Noto Sans" w:cs="Noto Sans"/>
                <w:kern w:val="24"/>
                <w:sz w:val="18"/>
                <w:szCs w:val="18"/>
                <w:highlight w:val="yellow"/>
              </w:rPr>
              <w:t>scale</w:t>
            </w:r>
            <w:proofErr w:type="spellEnd"/>
            <w:r w:rsidRPr="00A02026">
              <w:rPr>
                <w:rFonts w:eastAsia="Noto Sans" w:cs="Noto Sans"/>
                <w:kern w:val="24"/>
                <w:sz w:val="18"/>
                <w:szCs w:val="18"/>
                <w:highlight w:val="yellow"/>
              </w:rPr>
              <w:t>” logikája (kicsiben kipróbálni, mérni, skálázni)</w:t>
            </w:r>
          </w:p>
        </w:tc>
        <w:tc>
          <w:tcPr>
            <w:tcW w:w="1253" w:type="dxa"/>
          </w:tcPr>
          <w:p w14:paraId="0F192834" w14:textId="0F2B6E7A"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Átlagos intézkedési reakcióidő</w:t>
            </w:r>
          </w:p>
        </w:tc>
        <w:tc>
          <w:tcPr>
            <w:tcW w:w="1715" w:type="dxa"/>
          </w:tcPr>
          <w:p w14:paraId="53281700" w14:textId="2BF0E921"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4407391C" w14:textId="542C6AFB"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&lt;&lt;KITÖLTENDŐ&gt;&gt;</w:t>
            </w:r>
          </w:p>
        </w:tc>
        <w:tc>
          <w:tcPr>
            <w:tcW w:w="1715" w:type="dxa"/>
          </w:tcPr>
          <w:p w14:paraId="6426C667" w14:textId="471110C6" w:rsidR="00A02026" w:rsidRPr="00A02026" w:rsidRDefault="00A02026" w:rsidP="00A02026">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02026">
              <w:rPr>
                <w:sz w:val="18"/>
                <w:szCs w:val="18"/>
                <w:highlight w:val="yellow"/>
              </w:rPr>
              <w:t>&lt;&lt;KITÖLTENDŐ&gt;&gt;</w:t>
            </w:r>
          </w:p>
        </w:tc>
      </w:tr>
    </w:tbl>
    <w:p w14:paraId="22166E18" w14:textId="77777777" w:rsidR="00AF136A" w:rsidRPr="002B0721" w:rsidRDefault="00AF136A" w:rsidP="00AF136A">
      <w:pPr>
        <w:pStyle w:val="Heading3"/>
      </w:pPr>
      <w:r w:rsidRPr="002B0721">
        <w:t>F) Kockázatok és kezelések</w:t>
      </w:r>
    </w:p>
    <w:p w14:paraId="518A60D7"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kockázat&gt;&gt;</w:t>
      </w:r>
    </w:p>
    <w:p w14:paraId="44B1F4F1" w14:textId="77777777" w:rsidR="00AF136A" w:rsidRPr="002B0721" w:rsidRDefault="00AF136A" w:rsidP="00AF136A">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AF136A" w:rsidRPr="002B0721" w14:paraId="46838831"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7A0E9D69" w14:textId="77777777" w:rsidR="00AF136A" w:rsidRPr="002B0721" w:rsidRDefault="00AF136A" w:rsidP="00D92C6C">
            <w:pPr>
              <w:jc w:val="center"/>
              <w:rPr>
                <w:sz w:val="18"/>
                <w:szCs w:val="18"/>
              </w:rPr>
            </w:pPr>
            <w:r w:rsidRPr="002B0721">
              <w:rPr>
                <w:sz w:val="18"/>
                <w:szCs w:val="18"/>
              </w:rPr>
              <w:t>Állítás / megállapítás</w:t>
            </w:r>
          </w:p>
        </w:tc>
        <w:tc>
          <w:tcPr>
            <w:tcW w:w="2191" w:type="dxa"/>
          </w:tcPr>
          <w:p w14:paraId="1DB9B983"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típusa</w:t>
            </w:r>
          </w:p>
        </w:tc>
        <w:tc>
          <w:tcPr>
            <w:tcW w:w="2392" w:type="dxa"/>
          </w:tcPr>
          <w:p w14:paraId="790E8D82"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Hivatkozás (ábra/táblázat/melléklet)</w:t>
            </w:r>
          </w:p>
        </w:tc>
        <w:tc>
          <w:tcPr>
            <w:tcW w:w="2171" w:type="dxa"/>
          </w:tcPr>
          <w:p w14:paraId="3E57B9E6"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F136A" w:rsidRPr="002B0721" w14:paraId="030DD244"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3F0C9F43" w14:textId="77777777" w:rsidR="00AF136A" w:rsidRPr="002B0721" w:rsidRDefault="00AF136A" w:rsidP="00D92C6C">
            <w:pPr>
              <w:rPr>
                <w:sz w:val="18"/>
                <w:szCs w:val="18"/>
              </w:rPr>
            </w:pPr>
            <w:r w:rsidRPr="002B0721">
              <w:rPr>
                <w:sz w:val="18"/>
                <w:szCs w:val="18"/>
              </w:rPr>
              <w:t>&lt;&lt;KITÖLTENDŐ&gt;&gt;</w:t>
            </w:r>
          </w:p>
        </w:tc>
        <w:tc>
          <w:tcPr>
            <w:tcW w:w="2191" w:type="dxa"/>
          </w:tcPr>
          <w:p w14:paraId="6246908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824487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32FBDB03"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0B609DEC"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44483BD1" w14:textId="77777777" w:rsidR="00AF136A" w:rsidRPr="002B0721" w:rsidRDefault="00AF136A" w:rsidP="00D92C6C">
            <w:pPr>
              <w:rPr>
                <w:sz w:val="18"/>
                <w:szCs w:val="18"/>
              </w:rPr>
            </w:pPr>
            <w:r w:rsidRPr="002B0721">
              <w:rPr>
                <w:sz w:val="18"/>
                <w:szCs w:val="18"/>
              </w:rPr>
              <w:t>&lt;&lt;KITÖLTENDŐ&gt;&gt;</w:t>
            </w:r>
          </w:p>
        </w:tc>
        <w:tc>
          <w:tcPr>
            <w:tcW w:w="2191" w:type="dxa"/>
          </w:tcPr>
          <w:p w14:paraId="222B94D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7CFA2417"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3478FB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07B831F7"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14971CB0" w14:textId="77777777" w:rsidR="00AF136A" w:rsidRPr="002B0721" w:rsidRDefault="00AF136A" w:rsidP="00D92C6C">
            <w:pPr>
              <w:rPr>
                <w:sz w:val="18"/>
                <w:szCs w:val="18"/>
              </w:rPr>
            </w:pPr>
            <w:r w:rsidRPr="002B0721">
              <w:rPr>
                <w:sz w:val="18"/>
                <w:szCs w:val="18"/>
              </w:rPr>
              <w:t>&lt;&lt;KITÖLTENDŐ&gt;&gt;</w:t>
            </w:r>
          </w:p>
        </w:tc>
        <w:tc>
          <w:tcPr>
            <w:tcW w:w="2191" w:type="dxa"/>
          </w:tcPr>
          <w:p w14:paraId="0434370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22FA5A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58F3455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61A06C9A"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406180E9" w14:textId="77777777" w:rsidR="00AF136A" w:rsidRPr="002B0721" w:rsidRDefault="00AF136A" w:rsidP="00D92C6C">
            <w:pPr>
              <w:rPr>
                <w:sz w:val="18"/>
                <w:szCs w:val="18"/>
              </w:rPr>
            </w:pPr>
            <w:r w:rsidRPr="002B0721">
              <w:rPr>
                <w:sz w:val="18"/>
                <w:szCs w:val="18"/>
              </w:rPr>
              <w:t>&lt;&lt;KITÖLTENDŐ&gt;&gt;</w:t>
            </w:r>
          </w:p>
        </w:tc>
        <w:tc>
          <w:tcPr>
            <w:tcW w:w="2191" w:type="dxa"/>
          </w:tcPr>
          <w:p w14:paraId="779B3C9D"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1971484D"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9EF6FC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7892D5BC"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2733014" w14:textId="77777777" w:rsidR="00AF136A" w:rsidRPr="002B0721" w:rsidRDefault="00AF136A" w:rsidP="00D92C6C">
            <w:pPr>
              <w:rPr>
                <w:sz w:val="18"/>
                <w:szCs w:val="18"/>
              </w:rPr>
            </w:pPr>
            <w:r w:rsidRPr="002B0721">
              <w:rPr>
                <w:sz w:val="18"/>
                <w:szCs w:val="18"/>
              </w:rPr>
              <w:t>&lt;&lt;KITÖLTENDŐ&gt;&gt;</w:t>
            </w:r>
          </w:p>
        </w:tc>
        <w:tc>
          <w:tcPr>
            <w:tcW w:w="2191" w:type="dxa"/>
          </w:tcPr>
          <w:p w14:paraId="78084AD3"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712B7F81"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CC765A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0C262ED2"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341E7DFD" w14:textId="77777777" w:rsidR="00AF136A" w:rsidRPr="002B0721" w:rsidRDefault="00AF136A" w:rsidP="00D92C6C">
            <w:pPr>
              <w:rPr>
                <w:sz w:val="18"/>
                <w:szCs w:val="18"/>
              </w:rPr>
            </w:pPr>
            <w:r w:rsidRPr="002B0721">
              <w:rPr>
                <w:sz w:val="18"/>
                <w:szCs w:val="18"/>
              </w:rPr>
              <w:t>&lt;&lt;KITÖLTENDŐ&gt;&gt;</w:t>
            </w:r>
          </w:p>
        </w:tc>
        <w:tc>
          <w:tcPr>
            <w:tcW w:w="2191" w:type="dxa"/>
          </w:tcPr>
          <w:p w14:paraId="10D433F2"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37D98702"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2F1D2521"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bl>
    <w:p w14:paraId="2FDEDADF" w14:textId="77777777" w:rsidR="00AF136A" w:rsidRPr="002B0721" w:rsidRDefault="00AF136A" w:rsidP="00AF136A">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AF136A" w:rsidRPr="002B0721" w14:paraId="7AD315C3"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37F79C7" w14:textId="77777777" w:rsidR="00AF136A" w:rsidRPr="002B0721" w:rsidRDefault="00AF136A" w:rsidP="00D92C6C">
            <w:pPr>
              <w:rPr>
                <w:sz w:val="18"/>
                <w:szCs w:val="18"/>
              </w:rPr>
            </w:pPr>
            <w:r w:rsidRPr="002B0721">
              <w:rPr>
                <w:sz w:val="18"/>
                <w:szCs w:val="18"/>
              </w:rPr>
              <w:t>ESG standard(ok)</w:t>
            </w:r>
          </w:p>
        </w:tc>
        <w:tc>
          <w:tcPr>
            <w:tcW w:w="3034" w:type="dxa"/>
          </w:tcPr>
          <w:p w14:paraId="1C6F75D3"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Hogyan kapcsolódik a pillérhez?</w:t>
            </w:r>
          </w:p>
        </w:tc>
        <w:tc>
          <w:tcPr>
            <w:tcW w:w="3068" w:type="dxa"/>
          </w:tcPr>
          <w:p w14:paraId="7B07F1C5"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(fejezet/ábra/táblázat)</w:t>
            </w:r>
          </w:p>
        </w:tc>
      </w:tr>
      <w:tr w:rsidR="00AF136A" w:rsidRPr="002B0721" w14:paraId="01084563"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0EF6DC25" w14:textId="77777777" w:rsidR="00AF136A" w:rsidRPr="002B0721" w:rsidRDefault="00AF136A" w:rsidP="00D92C6C">
            <w:pPr>
              <w:rPr>
                <w:sz w:val="18"/>
                <w:szCs w:val="18"/>
              </w:rPr>
            </w:pPr>
            <w:r w:rsidRPr="002B0721">
              <w:rPr>
                <w:sz w:val="18"/>
                <w:szCs w:val="18"/>
              </w:rPr>
              <w:t xml:space="preserve">1.2, </w:t>
            </w:r>
          </w:p>
        </w:tc>
        <w:tc>
          <w:tcPr>
            <w:tcW w:w="3034" w:type="dxa"/>
          </w:tcPr>
          <w:p w14:paraId="2F68262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498B535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3C7E5B7F"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355A9D37" w14:textId="77777777" w:rsidR="00AF136A" w:rsidRPr="002B0721" w:rsidRDefault="00AF136A" w:rsidP="00D92C6C">
            <w:pPr>
              <w:rPr>
                <w:sz w:val="18"/>
                <w:szCs w:val="18"/>
              </w:rPr>
            </w:pPr>
            <w:r w:rsidRPr="002B0721">
              <w:rPr>
                <w:sz w:val="18"/>
                <w:szCs w:val="18"/>
              </w:rPr>
              <w:t>1.3</w:t>
            </w:r>
          </w:p>
        </w:tc>
        <w:tc>
          <w:tcPr>
            <w:tcW w:w="3034" w:type="dxa"/>
          </w:tcPr>
          <w:p w14:paraId="704E0DF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7D79960D"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4AB98FDB"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5688EAD5" w14:textId="77777777" w:rsidR="00AF136A" w:rsidRPr="002B0721" w:rsidRDefault="00AF136A" w:rsidP="00D92C6C">
            <w:pPr>
              <w:rPr>
                <w:sz w:val="18"/>
                <w:szCs w:val="18"/>
              </w:rPr>
            </w:pPr>
            <w:r w:rsidRPr="002B0721">
              <w:rPr>
                <w:sz w:val="18"/>
                <w:szCs w:val="18"/>
              </w:rPr>
              <w:t>1.4</w:t>
            </w:r>
          </w:p>
        </w:tc>
        <w:tc>
          <w:tcPr>
            <w:tcW w:w="3034" w:type="dxa"/>
          </w:tcPr>
          <w:p w14:paraId="5DA5C31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3B3A6821"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3183B438"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4BD0A48B" w14:textId="77777777" w:rsidR="00AF136A" w:rsidRPr="002B0721" w:rsidRDefault="00AF136A" w:rsidP="00D92C6C">
            <w:pPr>
              <w:rPr>
                <w:sz w:val="18"/>
                <w:szCs w:val="18"/>
              </w:rPr>
            </w:pPr>
            <w:r w:rsidRPr="002B0721">
              <w:rPr>
                <w:sz w:val="18"/>
                <w:szCs w:val="18"/>
              </w:rPr>
              <w:t>1.6</w:t>
            </w:r>
          </w:p>
        </w:tc>
        <w:tc>
          <w:tcPr>
            <w:tcW w:w="3034" w:type="dxa"/>
          </w:tcPr>
          <w:p w14:paraId="1E45362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603A23FE"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06F40979"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24A5A63B" w14:textId="77777777" w:rsidR="00AF136A" w:rsidRPr="002B0721" w:rsidRDefault="00AF136A" w:rsidP="00D92C6C">
            <w:pPr>
              <w:rPr>
                <w:sz w:val="18"/>
                <w:szCs w:val="18"/>
              </w:rPr>
            </w:pPr>
            <w:r w:rsidRPr="002B0721">
              <w:rPr>
                <w:sz w:val="18"/>
                <w:szCs w:val="18"/>
              </w:rPr>
              <w:t>1.7</w:t>
            </w:r>
          </w:p>
        </w:tc>
        <w:tc>
          <w:tcPr>
            <w:tcW w:w="3034" w:type="dxa"/>
          </w:tcPr>
          <w:p w14:paraId="01E6EFC4"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1388ECE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60E5A45B"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5B1C24FF" w14:textId="77777777" w:rsidR="00AF136A" w:rsidRPr="002B0721" w:rsidRDefault="00AF136A" w:rsidP="00D92C6C">
            <w:pPr>
              <w:rPr>
                <w:sz w:val="18"/>
                <w:szCs w:val="18"/>
              </w:rPr>
            </w:pPr>
            <w:r w:rsidRPr="002B0721">
              <w:rPr>
                <w:sz w:val="18"/>
                <w:szCs w:val="18"/>
              </w:rPr>
              <w:t>1.9</w:t>
            </w:r>
          </w:p>
        </w:tc>
        <w:tc>
          <w:tcPr>
            <w:tcW w:w="3034" w:type="dxa"/>
          </w:tcPr>
          <w:p w14:paraId="61C433C2"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3F02939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6124A2DD" w14:textId="77777777" w:rsidR="00AF136A" w:rsidRPr="002B0721" w:rsidRDefault="00AF136A" w:rsidP="00AF136A">
      <w:pPr>
        <w:pStyle w:val="Heading2"/>
      </w:pPr>
      <w:r w:rsidRPr="002B0721">
        <w:t>8. pillér - Esélyegyenlőség, hozzáférés, hallgatói jóllét (UDL, akadálymentesség)</w:t>
      </w:r>
    </w:p>
    <w:p w14:paraId="57A9D0B3" w14:textId="77777777" w:rsidR="00005E43" w:rsidRDefault="00032A4C">
      <w:pPr>
        <w:pStyle w:val="Infobox"/>
      </w:pPr>
      <w:r>
        <w:t xml:space="preserve">INFOBOX: Ez a pillér azt vizsgálja, hogy a program mennyiben biztosít befogadó, hozzáférhető és támogató tanulási környezetet a különböző hallgatói csoportok számára. Térjen ki az esélyegyenlőségi szempontokra, az akadálymentességre, a hallgatói jóllétet támogató szolgáltatásokra, valamint a rugalmas és UDL-elvű tanulásszervezés jelenlétére. Érdemes külön azonosítani azokat a pontokat, ahol bizonyos csoportok hátrányt szenvedhetnek, illetve azokat az intézkedéseket, amelyek ezt csökkentik. A fejezet célja, hogy a hozzáférés és a hallgatói támogatás ne kiegészítő témaként, hanem a programminőség integráns részeként jelenjen meg. </w:t>
      </w:r>
    </w:p>
    <w:p w14:paraId="4403CC22" w14:textId="7E7181CF" w:rsidR="00DB61EF" w:rsidRDefault="00DB61EF">
      <w:pPr>
        <w:pStyle w:val="Infobox"/>
      </w:pPr>
      <w:r w:rsidRPr="00DB61EF">
        <w:t>UDL-alapú programtervezés alatt a jelen felülvizsgálatban azt értjük, hogy a képzési program tantervi, pedagógiai, értékelési és tanulásszervezési megoldásait úgy kell kialakítani, hogy azok a lehető legkülönbözőbb hallgatói csoportok számára is hozzáférhető, teljesíthető és eredményes tanulási utat biztosítsanak. Ennek fókusza nem az egyéni kivételek utólagos kezelése, hanem a program szintjén meglévő, felesleges tanulási akadályok feltárása és csökkentése. A vizsgálat ezért különösen arra irányul, hogy a program mennyiben támogatja a hallgatók sokféleségéhez igazodó tanulási utakat, a világos tanulási eredményeket, a rugalmas és arányos értékelést, valamint a megfelelő tanulási erőforrásokhoz és támogatásokhoz való hozzáférést. Az UDL ilyen értelemben nem a követelmények enyhítését, hanem a magas szintű tanulási eredményekhez vezető utak tudatosabb, inkluzívabb megtervezését jelenti. Ez a megközelítés különösen szorosan kapcsolódik az ESG 1.3, 1.4 és 1.6 standardokhoz.</w:t>
      </w:r>
    </w:p>
    <w:p w14:paraId="5588D7AB" w14:textId="447856E1" w:rsidR="00DA0DBC" w:rsidRDefault="00032A4C">
      <w:pPr>
        <w:pStyle w:val="Infobox"/>
      </w:pPr>
      <w:r>
        <w:t>Kapcsolódó ESG: 1.3 Hallgatóközpontú tanulás, tanítás és értékelés, 1.4 A hallgatók felvétele, előrehaladása, tanulmányaik elismerése és a képesítés odaítélése, 1.6 Tanulástámogatás és hallgatói szolgáltatások, 1.9 A képzési programok folyamatos figyelemmel kísérése és rendszeres értékelése.</w:t>
      </w:r>
    </w:p>
    <w:p w14:paraId="5F4C88E5" w14:textId="77777777" w:rsidR="00DB61EF" w:rsidRDefault="00DB61EF" w:rsidP="00DB61EF"/>
    <w:p w14:paraId="46F4ACDF" w14:textId="778399DD" w:rsidR="00DB61EF" w:rsidRDefault="00DB61EF" w:rsidP="00DB61EF">
      <w:pPr>
        <w:pStyle w:val="Infobox"/>
      </w:pPr>
      <w:r>
        <w:t>INFOBOX az UDL-</w:t>
      </w:r>
      <w:proofErr w:type="spellStart"/>
      <w:r>
        <w:t>ről</w:t>
      </w:r>
      <w:proofErr w:type="spellEnd"/>
    </w:p>
    <w:p w14:paraId="24A32201" w14:textId="4DA85ADF" w:rsidR="00DB61EF" w:rsidRPr="00DB61EF" w:rsidRDefault="00DB61EF" w:rsidP="00DB61EF">
      <w:pPr>
        <w:pStyle w:val="Infobox"/>
      </w:pPr>
      <w:r w:rsidRPr="00DB61EF">
        <w:t xml:space="preserve">Az UDL alapú felsőoktatási programtervezés azt jelenti, hogy a képzést már eleve úgy tervezik meg, hogy a lehető legtöbb hallgató számára hozzáférhető, érthető, teljesíthető és motiváló legyen, ne pedig utólagos egyéni „kivételkezeléssel” próbálják javítani a rendszert. A UDL, vagyis </w:t>
      </w:r>
      <w:proofErr w:type="spellStart"/>
      <w:r w:rsidRPr="00DB61EF">
        <w:t>Universal</w:t>
      </w:r>
      <w:proofErr w:type="spellEnd"/>
      <w:r w:rsidRPr="00DB61EF">
        <w:t xml:space="preserve"> Design </w:t>
      </w:r>
      <w:proofErr w:type="spellStart"/>
      <w:r w:rsidRPr="00DB61EF">
        <w:t>for</w:t>
      </w:r>
      <w:proofErr w:type="spellEnd"/>
      <w:r w:rsidRPr="00DB61EF">
        <w:t xml:space="preserve"> </w:t>
      </w:r>
      <w:proofErr w:type="spellStart"/>
      <w:r w:rsidRPr="00DB61EF">
        <w:t>Learning</w:t>
      </w:r>
      <w:proofErr w:type="spellEnd"/>
      <w:r w:rsidRPr="00DB61EF">
        <w:t>, a CAST meghatározása szerint egy kutatásalapú keret, amely segít úgy kialakítani a célokat, módszereket, tananyagokat, értékelést és tanulási környezetet, hogy csökkenjenek a tanulási akadályok. (</w:t>
      </w:r>
      <w:hyperlink r:id="rId9" w:tooltip="Universal Design for Learning" w:history="1">
        <w:r w:rsidRPr="00DB61EF">
          <w:rPr>
            <w:rStyle w:val="Hyperlink"/>
          </w:rPr>
          <w:t>CAST</w:t>
        </w:r>
      </w:hyperlink>
      <w:r w:rsidRPr="00DB61EF">
        <w:t>)</w:t>
      </w:r>
    </w:p>
    <w:p w14:paraId="215C3F01" w14:textId="1F434541" w:rsidR="00DB61EF" w:rsidRPr="00DB61EF" w:rsidRDefault="00DB61EF" w:rsidP="00DB61EF">
      <w:pPr>
        <w:pStyle w:val="Infobox"/>
      </w:pPr>
      <w:r w:rsidRPr="00DB61EF">
        <w:t xml:space="preserve">A gyakorlatban ez nem egyetlen oktatástechnikai fogás, hanem programszintű tervezési szemlélet. A jelenlegi UDL-irányelvek három nagy elvre épülnek: többféle módon kell támogatni a </w:t>
      </w:r>
      <w:proofErr w:type="spellStart"/>
      <w:r w:rsidRPr="00DB61EF">
        <w:t>bevontságot</w:t>
      </w:r>
      <w:proofErr w:type="spellEnd"/>
      <w:r w:rsidRPr="00DB61EF">
        <w:t>/motivációt (</w:t>
      </w:r>
      <w:proofErr w:type="spellStart"/>
      <w:r w:rsidRPr="00DB61EF">
        <w:t>engagement</w:t>
      </w:r>
      <w:proofErr w:type="spellEnd"/>
      <w:r w:rsidRPr="00DB61EF">
        <w:t>), az információhoz való hozzáférést és megértést (</w:t>
      </w:r>
      <w:proofErr w:type="spellStart"/>
      <w:r w:rsidRPr="00DB61EF">
        <w:t>representation</w:t>
      </w:r>
      <w:proofErr w:type="spellEnd"/>
      <w:r w:rsidRPr="00DB61EF">
        <w:t>), valamint a megmutatás és teljesítés különböző formáit (</w:t>
      </w:r>
      <w:proofErr w:type="spellStart"/>
      <w:r w:rsidRPr="00DB61EF">
        <w:t>action</w:t>
      </w:r>
      <w:proofErr w:type="spellEnd"/>
      <w:r w:rsidRPr="00DB61EF">
        <w:t xml:space="preserve"> and </w:t>
      </w:r>
      <w:proofErr w:type="spellStart"/>
      <w:r w:rsidRPr="00DB61EF">
        <w:t>expression</w:t>
      </w:r>
      <w:proofErr w:type="spellEnd"/>
      <w:r w:rsidRPr="00DB61EF">
        <w:t>). A cél nem azonos tanulási út előírása mindenkinek, hanem az, hogy a hallgatók különböző háttérrel, tanulási preferenciákkal és élethelyzettel is el tudják érni ugyanazokat a tanulási eredményeket. (</w:t>
      </w:r>
      <w:hyperlink r:id="rId10" w:tooltip="CAST UDL Guidelines" w:history="1">
        <w:r w:rsidRPr="00DB61EF">
          <w:rPr>
            <w:rStyle w:val="Hyperlink"/>
          </w:rPr>
          <w:t>UDL Útmutatók</w:t>
        </w:r>
      </w:hyperlink>
      <w:r w:rsidRPr="00DB61EF">
        <w:t>)</w:t>
      </w:r>
    </w:p>
    <w:p w14:paraId="6AE9DD81" w14:textId="77777777" w:rsidR="00DB61EF" w:rsidRPr="00DB61EF" w:rsidRDefault="00DB61EF" w:rsidP="00DB61EF">
      <w:pPr>
        <w:pStyle w:val="Infobox"/>
      </w:pPr>
      <w:r w:rsidRPr="00DB61EF">
        <w:t xml:space="preserve">Felsőoktatási programtervezésben ez azt jelenti, hogy nemcsak egy-egy kurzust, hanem a teljes képzési programot így kell </w:t>
      </w:r>
      <w:proofErr w:type="spellStart"/>
      <w:r w:rsidRPr="00DB61EF">
        <w:t>végiggondolni</w:t>
      </w:r>
      <w:proofErr w:type="spellEnd"/>
      <w:r w:rsidRPr="00DB61EF">
        <w:t>. Például:</w:t>
      </w:r>
    </w:p>
    <w:p w14:paraId="28E39D65" w14:textId="76692D80" w:rsidR="00DB61EF" w:rsidRPr="00DB61EF" w:rsidRDefault="00DB61EF" w:rsidP="00DB61EF">
      <w:pPr>
        <w:pStyle w:val="Infobox"/>
      </w:pPr>
      <w:r w:rsidRPr="00DB61EF">
        <w:t xml:space="preserve">- a tanulási eredmények </w:t>
      </w:r>
      <w:proofErr w:type="spellStart"/>
      <w:r w:rsidRPr="00DB61EF">
        <w:t>világosak</w:t>
      </w:r>
      <w:proofErr w:type="spellEnd"/>
      <w:r w:rsidRPr="00DB61EF">
        <w:t xml:space="preserve"> és többféle hallgatói úthoz is illeszthetők;</w:t>
      </w:r>
    </w:p>
    <w:p w14:paraId="3F19E529" w14:textId="30B886CE" w:rsidR="00DB61EF" w:rsidRPr="00DB61EF" w:rsidRDefault="00DB61EF" w:rsidP="00DB61EF">
      <w:pPr>
        <w:pStyle w:val="Infobox"/>
      </w:pPr>
      <w:r w:rsidRPr="00DB61EF">
        <w:t>- a tananyagok több formátumban hozzáférhetők;</w:t>
      </w:r>
    </w:p>
    <w:p w14:paraId="5F793BF2" w14:textId="68F79CC2" w:rsidR="00DB61EF" w:rsidRPr="00DB61EF" w:rsidRDefault="00DB61EF" w:rsidP="00DB61EF">
      <w:pPr>
        <w:pStyle w:val="Infobox"/>
      </w:pPr>
      <w:r w:rsidRPr="00DB61EF">
        <w:t>- az értékelés nem csak egyetlen teljesítési módra épül;</w:t>
      </w:r>
    </w:p>
    <w:p w14:paraId="48FD9BE3" w14:textId="4F448959" w:rsidR="00DB61EF" w:rsidRPr="00DB61EF" w:rsidRDefault="00DB61EF" w:rsidP="00DB61EF">
      <w:pPr>
        <w:pStyle w:val="Infobox"/>
      </w:pPr>
      <w:r w:rsidRPr="00DB61EF">
        <w:t>- a tanterv figyelembe veszi a dolgozó, nemzetközi, eltérő előképzettségű vagy támogatási igényű hallgatókat;</w:t>
      </w:r>
    </w:p>
    <w:p w14:paraId="44523FA9" w14:textId="1A5384BB" w:rsidR="00DB61EF" w:rsidRPr="00DB61EF" w:rsidRDefault="00DB61EF" w:rsidP="00DB61EF">
      <w:pPr>
        <w:pStyle w:val="Infobox"/>
      </w:pPr>
      <w:r w:rsidRPr="00DB61EF">
        <w:t>- a digitális és fizikai tanulási környezet akadálymentesebb és rugalmasabb. Ezek mind összhangban vannak a hallgatóközpontú tanulás felsőoktatási logikájával. (</w:t>
      </w:r>
      <w:hyperlink r:id="rId11" w:tooltip="UDL in Higher Ed" w:history="1">
        <w:r w:rsidRPr="00DB61EF">
          <w:rPr>
            <w:rStyle w:val="Hyperlink"/>
          </w:rPr>
          <w:t>udloncampus.cast.org</w:t>
        </w:r>
      </w:hyperlink>
      <w:r w:rsidRPr="00DB61EF">
        <w:t>)</w:t>
      </w:r>
    </w:p>
    <w:p w14:paraId="22611B53" w14:textId="1BE75D7E" w:rsidR="00DB61EF" w:rsidRPr="00DB61EF" w:rsidRDefault="00DB61EF" w:rsidP="00DB61EF">
      <w:pPr>
        <w:pStyle w:val="Infobox"/>
      </w:pPr>
      <w:r w:rsidRPr="00DB61EF">
        <w:t xml:space="preserve">Az UDL azt kérdezi, hogy a program hol termel felesleges tanulási akadályt. Nem azt vizsgálja elsősorban, hogy „ki a gyenge hallgató”, hanem azt, hogy a program szerkezete, tananyag-kommunikációja, értékelési rendszere, időzítése vagy digitális környezete hol zár ki indokolatlanul bizonyos hallgatói csoportokat. Egy UDL-alapú felülvizsgálat ezért tipikusan megnézi a kurzusok terhelését, az előkövetelmények logikáját, a tananyagok érthetőségét, a visszajelzés módját, a különböző értékelési formák arányát, valamint a rugalmas tanulási utak lehetőségét. Ez különösen fontos hibrid, online vagy munkavégzés melletti tanulásnál is. Az ESG ráadásul kifejezetten minden felsőoktatásra alkalmazandó, függetlenül a megvalósítás módjától. </w:t>
      </w:r>
    </w:p>
    <w:p w14:paraId="02620C55" w14:textId="37F99E12" w:rsidR="00DB61EF" w:rsidRPr="00DB61EF" w:rsidRDefault="00DB61EF" w:rsidP="00DB61EF">
      <w:pPr>
        <w:pStyle w:val="Infobox"/>
      </w:pPr>
      <w:r w:rsidRPr="00DB61EF">
        <w:t xml:space="preserve">Fontos, hogy az UDL nem a követelmények leszállítását jelenti. Inkább azt, hogy a tanulási eredmények maradnak magasak és egyértelműek, de az oda vezető út és a teljesítés bizonyos formái rugalmasabban, tudatosabban vannak megtervezve. Vagyis nem „engedékenyebb” programról van szó, hanem jobban tervezett programról. </w:t>
      </w:r>
    </w:p>
    <w:p w14:paraId="067FCFCE" w14:textId="7E31E5C9" w:rsidR="00DB61EF" w:rsidRPr="00DB61EF" w:rsidRDefault="00DB61EF" w:rsidP="00DB61EF">
      <w:pPr>
        <w:pStyle w:val="Infobox"/>
      </w:pPr>
      <w:r w:rsidRPr="00DB61EF">
        <w:t xml:space="preserve">Az ESG szempontjából az UDL különösen jól kapcsolódik az ESG 1.3-hoz (hallgatóközpontú tanulás, tanítás és értékelés), de erősen érinti az ESG 1.4-et is (hallgatói életút, előrehaladás, elismerés), valamint az ESG 1.6-ot (tanulástámogatás és erőforrások). Az ESG 2015 kifejezetten a tanulási eredményekre és a hallgatóközpontú szemléletre épülő minőségfejlesztési irányváltást hangsúlyozza, így a UDL ennek egy gyakorlati megvalósítási kerete lehet. </w:t>
      </w:r>
    </w:p>
    <w:p w14:paraId="068738BC" w14:textId="77777777" w:rsidR="00DB61EF" w:rsidRDefault="00DB61EF" w:rsidP="00DB61EF"/>
    <w:p w14:paraId="0A71854F" w14:textId="4997CAD1" w:rsidR="00AF136A" w:rsidRPr="002B0721" w:rsidRDefault="00AF136A" w:rsidP="00AF136A">
      <w:pPr>
        <w:pStyle w:val="Heading3"/>
      </w:pPr>
      <w:r w:rsidRPr="002B0721">
        <w:t>A) Cél és kulcskérdések</w:t>
      </w:r>
    </w:p>
    <w:p w14:paraId="4013DC00"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kérdés&gt;&gt;</w:t>
      </w:r>
    </w:p>
    <w:p w14:paraId="18F64B69" w14:textId="402A7B36" w:rsidR="006E156F" w:rsidRPr="006E156F" w:rsidRDefault="006E156F" w:rsidP="006E156F">
      <w:pPr>
        <w:pStyle w:val="ListParagraph"/>
        <w:numPr>
          <w:ilvl w:val="0"/>
          <w:numId w:val="3"/>
        </w:numPr>
        <w:rPr>
          <w:highlight w:val="yellow"/>
        </w:rPr>
      </w:pPr>
      <w:r w:rsidRPr="006E156F">
        <w:rPr>
          <w:highlight w:val="yellow"/>
        </w:rPr>
        <w:t>Mely pontokon szenvedhetnek hátrányt egyes csoportok (fogyatékossággal élők, bejáró/kollégista, dolgozó, nemzetközi stb.)?</w:t>
      </w:r>
    </w:p>
    <w:p w14:paraId="3BB7C70C" w14:textId="77777777" w:rsidR="006E156F" w:rsidRPr="006E156F" w:rsidRDefault="006E156F" w:rsidP="006E156F">
      <w:pPr>
        <w:pStyle w:val="ListParagraph"/>
        <w:numPr>
          <w:ilvl w:val="0"/>
          <w:numId w:val="3"/>
        </w:numPr>
        <w:rPr>
          <w:highlight w:val="yellow"/>
        </w:rPr>
      </w:pPr>
      <w:r w:rsidRPr="006E156F">
        <w:rPr>
          <w:highlight w:val="yellow"/>
        </w:rPr>
        <w:t>Mennyire akadálymentes a tananyag és a tanulási környezet (digitális hozzáférés, tananyagformátumok, vizsgáztatás)?</w:t>
      </w:r>
    </w:p>
    <w:p w14:paraId="145BF147" w14:textId="77777777" w:rsidR="006E156F" w:rsidRPr="006E156F" w:rsidRDefault="006E156F" w:rsidP="006E156F">
      <w:pPr>
        <w:pStyle w:val="ListParagraph"/>
        <w:numPr>
          <w:ilvl w:val="0"/>
          <w:numId w:val="3"/>
        </w:numPr>
        <w:rPr>
          <w:highlight w:val="yellow"/>
        </w:rPr>
      </w:pPr>
      <w:r w:rsidRPr="006E156F">
        <w:rPr>
          <w:highlight w:val="yellow"/>
        </w:rPr>
        <w:t>Milyen a hallgatói jóllétet támogató szolgáltatások elérése és ismertsége (mentorálás, pszichológiai/karrier támogatás, tanulástámogatás)?</w:t>
      </w:r>
    </w:p>
    <w:p w14:paraId="2643E312" w14:textId="77777777" w:rsidR="006E156F" w:rsidRPr="006E156F" w:rsidRDefault="006E156F" w:rsidP="006E156F">
      <w:pPr>
        <w:pStyle w:val="ListParagraph"/>
        <w:numPr>
          <w:ilvl w:val="0"/>
          <w:numId w:val="3"/>
        </w:numPr>
        <w:rPr>
          <w:highlight w:val="yellow"/>
        </w:rPr>
      </w:pPr>
      <w:r w:rsidRPr="006E156F">
        <w:rPr>
          <w:highlight w:val="yellow"/>
        </w:rPr>
        <w:t>Van-e „rugalmas tanulásszervezés” és mennyire következetes (határidők, pótlások, alternatív teljesítési utak)?</w:t>
      </w:r>
    </w:p>
    <w:p w14:paraId="54EBBD99" w14:textId="25010DF9" w:rsidR="00AF136A" w:rsidRPr="006E156F" w:rsidRDefault="006E156F" w:rsidP="006E156F">
      <w:pPr>
        <w:pStyle w:val="ListParagraph"/>
        <w:numPr>
          <w:ilvl w:val="0"/>
          <w:numId w:val="3"/>
        </w:numPr>
        <w:rPr>
          <w:highlight w:val="yellow"/>
        </w:rPr>
      </w:pPr>
      <w:r w:rsidRPr="006E156F">
        <w:rPr>
          <w:highlight w:val="yellow"/>
        </w:rPr>
        <w:t>Látható-e a rendszerben az egyenlőtlenségi rés: teljesítmény</w:t>
      </w:r>
      <w:r w:rsidR="00DB3788">
        <w:rPr>
          <w:highlight w:val="yellow"/>
        </w:rPr>
        <w:t xml:space="preserve"> </w:t>
      </w:r>
      <w:r w:rsidRPr="006E156F">
        <w:rPr>
          <w:highlight w:val="yellow"/>
        </w:rPr>
        <w:t>/</w:t>
      </w:r>
      <w:r w:rsidR="00DB3788">
        <w:rPr>
          <w:highlight w:val="yellow"/>
        </w:rPr>
        <w:t xml:space="preserve"> </w:t>
      </w:r>
      <w:r w:rsidRPr="006E156F">
        <w:rPr>
          <w:highlight w:val="yellow"/>
        </w:rPr>
        <w:t>lemorzsolódás</w:t>
      </w:r>
      <w:r w:rsidR="00DB3788">
        <w:rPr>
          <w:highlight w:val="yellow"/>
        </w:rPr>
        <w:t xml:space="preserve"> </w:t>
      </w:r>
      <w:r w:rsidRPr="006E156F">
        <w:rPr>
          <w:highlight w:val="yellow"/>
        </w:rPr>
        <w:t>/</w:t>
      </w:r>
      <w:r w:rsidR="00DB3788">
        <w:rPr>
          <w:highlight w:val="yellow"/>
        </w:rPr>
        <w:t xml:space="preserve"> </w:t>
      </w:r>
      <w:r w:rsidRPr="006E156F">
        <w:rPr>
          <w:highlight w:val="yellow"/>
        </w:rPr>
        <w:t>előrehaladás különbségei csoportok között?</w:t>
      </w:r>
    </w:p>
    <w:p w14:paraId="72D56900" w14:textId="77777777" w:rsidR="00AF136A" w:rsidRPr="002B0721" w:rsidRDefault="00AF136A" w:rsidP="00AF136A">
      <w:pPr>
        <w:pStyle w:val="ListParagraph"/>
        <w:numPr>
          <w:ilvl w:val="0"/>
          <w:numId w:val="3"/>
        </w:numPr>
      </w:pPr>
      <w:r w:rsidRPr="002B0721">
        <w:t>&lt;&lt;KITÖLTENDŐ&gt;&gt;</w:t>
      </w:r>
    </w:p>
    <w:p w14:paraId="002A1DB7" w14:textId="77777777" w:rsidR="00AF136A" w:rsidRPr="002B0721" w:rsidRDefault="00AF136A" w:rsidP="00AF136A">
      <w:pPr>
        <w:pStyle w:val="Heading3"/>
      </w:pPr>
      <w:r w:rsidRPr="002B0721">
        <w:t>B) KPI-ok / mutatók</w:t>
      </w:r>
    </w:p>
    <w:p w14:paraId="6AC29A91" w14:textId="77777777" w:rsidR="00AF136A" w:rsidRPr="002B0721" w:rsidRDefault="00AF136A" w:rsidP="00AF136A">
      <w:r w:rsidRPr="002B0721">
        <w:t>KPI / mutató tábla (trend + benchmark)</w:t>
      </w:r>
    </w:p>
    <w:tbl>
      <w:tblPr>
        <w:tblStyle w:val="GridTable5Dark-Accent1"/>
        <w:tblW w:w="0" w:type="auto"/>
        <w:tblLook w:val="04A0" w:firstRow="1" w:lastRow="0" w:firstColumn="1" w:lastColumn="0" w:noHBand="0" w:noVBand="1"/>
      </w:tblPr>
      <w:tblGrid>
        <w:gridCol w:w="1207"/>
        <w:gridCol w:w="1168"/>
        <w:gridCol w:w="1168"/>
        <w:gridCol w:w="1167"/>
        <w:gridCol w:w="1167"/>
        <w:gridCol w:w="1167"/>
        <w:gridCol w:w="1167"/>
        <w:gridCol w:w="851"/>
      </w:tblGrid>
      <w:tr w:rsidR="00F64D97" w:rsidRPr="002B0721" w14:paraId="4490C86A"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46B0A982" w14:textId="77777777" w:rsidR="00AF136A" w:rsidRPr="002B0721" w:rsidRDefault="00AF136A" w:rsidP="00D92C6C">
            <w:pPr>
              <w:rPr>
                <w:sz w:val="18"/>
                <w:szCs w:val="18"/>
              </w:rPr>
            </w:pPr>
            <w:r w:rsidRPr="002B0721">
              <w:rPr>
                <w:sz w:val="18"/>
                <w:szCs w:val="18"/>
              </w:rPr>
              <w:t>Mutató neve</w:t>
            </w:r>
          </w:p>
        </w:tc>
        <w:tc>
          <w:tcPr>
            <w:tcW w:w="1218" w:type="dxa"/>
          </w:tcPr>
          <w:p w14:paraId="0263B99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Definíció t</w:t>
            </w:r>
          </w:p>
        </w:tc>
        <w:tc>
          <w:tcPr>
            <w:tcW w:w="1218" w:type="dxa"/>
          </w:tcPr>
          <w:p w14:paraId="46D4B0A0"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Adatforrás</w:t>
            </w:r>
          </w:p>
        </w:tc>
        <w:tc>
          <w:tcPr>
            <w:tcW w:w="1218" w:type="dxa"/>
          </w:tcPr>
          <w:p w14:paraId="6888B5E1"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Időablak</w:t>
            </w:r>
          </w:p>
        </w:tc>
        <w:tc>
          <w:tcPr>
            <w:tcW w:w="1218" w:type="dxa"/>
          </w:tcPr>
          <w:p w14:paraId="5FB65BB8"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Szegmentáció</w:t>
            </w:r>
          </w:p>
        </w:tc>
        <w:tc>
          <w:tcPr>
            <w:tcW w:w="1218" w:type="dxa"/>
          </w:tcPr>
          <w:p w14:paraId="71E979A8"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Bázisérték</w:t>
            </w:r>
          </w:p>
        </w:tc>
        <w:tc>
          <w:tcPr>
            <w:tcW w:w="1218" w:type="dxa"/>
          </w:tcPr>
          <w:p w14:paraId="24ED1DBD"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Célérték</w:t>
            </w:r>
          </w:p>
        </w:tc>
        <w:tc>
          <w:tcPr>
            <w:tcW w:w="1218" w:type="dxa"/>
          </w:tcPr>
          <w:p w14:paraId="379AB14E"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F64D97" w:rsidRPr="002B0721" w14:paraId="1C257673"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01656480" w14:textId="195EE4A9" w:rsidR="00AF136A" w:rsidRPr="00DB3788" w:rsidRDefault="00BD72F3" w:rsidP="00D92C6C">
            <w:pPr>
              <w:rPr>
                <w:sz w:val="18"/>
                <w:szCs w:val="18"/>
                <w:highlight w:val="yellow"/>
              </w:rPr>
            </w:pPr>
            <w:r w:rsidRPr="00DB3788">
              <w:rPr>
                <w:sz w:val="18"/>
                <w:szCs w:val="18"/>
                <w:highlight w:val="yellow"/>
              </w:rPr>
              <w:t>Választható képzési tartalom mértéke</w:t>
            </w:r>
          </w:p>
        </w:tc>
        <w:tc>
          <w:tcPr>
            <w:tcW w:w="1218" w:type="dxa"/>
          </w:tcPr>
          <w:p w14:paraId="29CD3BBF" w14:textId="6FF24E14" w:rsidR="00AF136A" w:rsidRPr="00032A4C" w:rsidRDefault="00BD72F3"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Kötelezően választható tantárgyak száma</w:t>
            </w:r>
          </w:p>
        </w:tc>
        <w:tc>
          <w:tcPr>
            <w:tcW w:w="1218" w:type="dxa"/>
          </w:tcPr>
          <w:p w14:paraId="4179DF89" w14:textId="0FCA5C2E" w:rsidR="00AF136A" w:rsidRPr="00032A4C" w:rsidRDefault="000C37F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Mintatanterv</w:t>
            </w:r>
          </w:p>
        </w:tc>
        <w:tc>
          <w:tcPr>
            <w:tcW w:w="1218" w:type="dxa"/>
          </w:tcPr>
          <w:p w14:paraId="7B81653E" w14:textId="215C147B" w:rsidR="00AF136A" w:rsidRPr="00032A4C" w:rsidRDefault="00F64D97"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2E15F535" w14:textId="25054718" w:rsidR="00AF136A" w:rsidRPr="00032A4C" w:rsidRDefault="000C37F6"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w:t>
            </w:r>
          </w:p>
        </w:tc>
        <w:tc>
          <w:tcPr>
            <w:tcW w:w="1218" w:type="dxa"/>
          </w:tcPr>
          <w:p w14:paraId="1B6CCB7F"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37C7876D"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CA33497"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F64D97" w:rsidRPr="002B0721" w14:paraId="3CE9744C"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643DDB56" w14:textId="6C745B44" w:rsidR="00AF136A" w:rsidRPr="00DB3788" w:rsidRDefault="00F64D97" w:rsidP="00D92C6C">
            <w:pPr>
              <w:rPr>
                <w:sz w:val="18"/>
                <w:szCs w:val="18"/>
                <w:highlight w:val="yellow"/>
              </w:rPr>
            </w:pPr>
            <w:r w:rsidRPr="00DB3788">
              <w:rPr>
                <w:sz w:val="18"/>
                <w:szCs w:val="18"/>
                <w:highlight w:val="yellow"/>
              </w:rPr>
              <w:t>Lemorzsolódás és kreditelőrehaladás</w:t>
            </w:r>
          </w:p>
        </w:tc>
        <w:tc>
          <w:tcPr>
            <w:tcW w:w="1218" w:type="dxa"/>
          </w:tcPr>
          <w:p w14:paraId="34146FF9" w14:textId="7B29DEF8" w:rsidR="00AF136A" w:rsidRPr="00032A4C" w:rsidRDefault="00F64D97"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 xml:space="preserve">Lemorzsolódás és kreditelőrehaladás tekintetében kimutatható-e </w:t>
            </w:r>
            <w:r w:rsidRPr="00F64D97">
              <w:rPr>
                <w:sz w:val="18"/>
                <w:szCs w:val="18"/>
                <w:highlight w:val="yellow"/>
              </w:rPr>
              <w:t>különbsége</w:t>
            </w:r>
            <w:r>
              <w:rPr>
                <w:sz w:val="18"/>
                <w:szCs w:val="18"/>
                <w:highlight w:val="yellow"/>
              </w:rPr>
              <w:t>k</w:t>
            </w:r>
            <w:r w:rsidRPr="00F64D97">
              <w:rPr>
                <w:sz w:val="18"/>
                <w:szCs w:val="18"/>
                <w:highlight w:val="yellow"/>
              </w:rPr>
              <w:t xml:space="preserve"> hallgatói csoportok között</w:t>
            </w:r>
            <w:r>
              <w:rPr>
                <w:sz w:val="18"/>
                <w:szCs w:val="18"/>
                <w:highlight w:val="yellow"/>
              </w:rPr>
              <w:t>, amennyiben igen, úgy ezen különbségek kiegyenlítése</w:t>
            </w:r>
          </w:p>
        </w:tc>
        <w:tc>
          <w:tcPr>
            <w:tcW w:w="1218" w:type="dxa"/>
          </w:tcPr>
          <w:p w14:paraId="0F18755B" w14:textId="09DE0CFE" w:rsidR="00AF136A" w:rsidRPr="00032A4C" w:rsidRDefault="00F64D97"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NEPTUN, oktatási dékánhelyettes</w:t>
            </w:r>
          </w:p>
        </w:tc>
        <w:tc>
          <w:tcPr>
            <w:tcW w:w="1218" w:type="dxa"/>
          </w:tcPr>
          <w:p w14:paraId="385AEBFE" w14:textId="718D79B1" w:rsidR="00AF136A" w:rsidRPr="00032A4C" w:rsidRDefault="00F64D97"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131C3123" w14:textId="4FD9C829" w:rsidR="00AF136A" w:rsidRPr="00032A4C" w:rsidRDefault="000C37F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w:t>
            </w:r>
          </w:p>
        </w:tc>
        <w:tc>
          <w:tcPr>
            <w:tcW w:w="1218" w:type="dxa"/>
          </w:tcPr>
          <w:p w14:paraId="3B95D898"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EA300A1"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E5C1048" w14:textId="6A13ED19" w:rsidR="00AF136A" w:rsidRPr="00032A4C" w:rsidRDefault="000C37F6"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Amennyiben a szak esetében releváns</w:t>
            </w:r>
          </w:p>
        </w:tc>
      </w:tr>
      <w:tr w:rsidR="00F64D97" w:rsidRPr="002B0721" w14:paraId="5A9F9216"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631F4ECA" w14:textId="0E4BBE93" w:rsidR="00AF136A" w:rsidRPr="00DB3788" w:rsidRDefault="00F64D97" w:rsidP="00D92C6C">
            <w:pPr>
              <w:rPr>
                <w:sz w:val="18"/>
                <w:szCs w:val="18"/>
                <w:highlight w:val="yellow"/>
              </w:rPr>
            </w:pPr>
            <w:r w:rsidRPr="00DB3788">
              <w:rPr>
                <w:sz w:val="18"/>
                <w:szCs w:val="18"/>
                <w:highlight w:val="yellow"/>
              </w:rPr>
              <w:t>Méltányossági kérelmek, kedvezményes tanulmányi rend kérelmek</w:t>
            </w:r>
          </w:p>
        </w:tc>
        <w:tc>
          <w:tcPr>
            <w:tcW w:w="1218" w:type="dxa"/>
          </w:tcPr>
          <w:p w14:paraId="431E8AA7" w14:textId="0417FBED" w:rsidR="00AF136A" w:rsidRPr="00032A4C" w:rsidRDefault="00F64D97"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Leadott kérvények átfutási ideje</w:t>
            </w:r>
          </w:p>
        </w:tc>
        <w:tc>
          <w:tcPr>
            <w:tcW w:w="1218" w:type="dxa"/>
          </w:tcPr>
          <w:p w14:paraId="05B9F865" w14:textId="2533E578" w:rsidR="00AF136A" w:rsidRPr="00032A4C" w:rsidRDefault="00F64D97"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KTB</w:t>
            </w:r>
          </w:p>
        </w:tc>
        <w:tc>
          <w:tcPr>
            <w:tcW w:w="1218" w:type="dxa"/>
          </w:tcPr>
          <w:p w14:paraId="4A7AF85B" w14:textId="63D906A4" w:rsidR="00AF136A" w:rsidRPr="00032A4C" w:rsidRDefault="00F64D97"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6A96A7B4" w14:textId="210D0EA5" w:rsidR="00AF136A" w:rsidRPr="00032A4C" w:rsidRDefault="00F64D97"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30AC8CC4"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6A11604"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CD676FC"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F64D97" w:rsidRPr="002B0721" w14:paraId="002A0ECF"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36B44F74" w14:textId="0283B2EB" w:rsidR="00AF136A" w:rsidRPr="00DB3788" w:rsidRDefault="00DB3788" w:rsidP="00D92C6C">
            <w:pPr>
              <w:rPr>
                <w:sz w:val="18"/>
                <w:szCs w:val="18"/>
                <w:highlight w:val="yellow"/>
              </w:rPr>
            </w:pPr>
            <w:r w:rsidRPr="00DB3788">
              <w:rPr>
                <w:sz w:val="18"/>
                <w:szCs w:val="18"/>
                <w:highlight w:val="yellow"/>
              </w:rPr>
              <w:t>Hallgatói jóllét / támogatás igénybevétel</w:t>
            </w:r>
            <w:r w:rsidRPr="00DB3788">
              <w:rPr>
                <w:sz w:val="18"/>
                <w:szCs w:val="18"/>
                <w:highlight w:val="yellow"/>
              </w:rPr>
              <w:t>e</w:t>
            </w:r>
          </w:p>
        </w:tc>
        <w:tc>
          <w:tcPr>
            <w:tcW w:w="1218" w:type="dxa"/>
          </w:tcPr>
          <w:p w14:paraId="3E58D97A" w14:textId="0E028191" w:rsidR="00AF136A" w:rsidRPr="00032A4C" w:rsidRDefault="00DB3788"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Kari szolgáltatások igénybevétele</w:t>
            </w:r>
          </w:p>
        </w:tc>
        <w:tc>
          <w:tcPr>
            <w:tcW w:w="1218" w:type="dxa"/>
          </w:tcPr>
          <w:p w14:paraId="719BE9F8" w14:textId="62E5BB82" w:rsidR="00AF136A" w:rsidRPr="00032A4C" w:rsidRDefault="00DB3788"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Kari vezetés</w:t>
            </w:r>
          </w:p>
        </w:tc>
        <w:tc>
          <w:tcPr>
            <w:tcW w:w="1218" w:type="dxa"/>
          </w:tcPr>
          <w:p w14:paraId="056BC855" w14:textId="40D85CBE" w:rsidR="00AF136A" w:rsidRPr="00032A4C" w:rsidRDefault="00DB3788"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2020-2025</w:t>
            </w:r>
          </w:p>
        </w:tc>
        <w:tc>
          <w:tcPr>
            <w:tcW w:w="1218" w:type="dxa"/>
          </w:tcPr>
          <w:p w14:paraId="12F11476" w14:textId="0AC3BBDE" w:rsidR="00AF136A" w:rsidRPr="00032A4C" w:rsidRDefault="00DB3788"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18"/>
                <w:szCs w:val="18"/>
                <w:highlight w:val="yellow"/>
              </w:rPr>
              <w:t>-</w:t>
            </w:r>
          </w:p>
        </w:tc>
        <w:tc>
          <w:tcPr>
            <w:tcW w:w="1218" w:type="dxa"/>
          </w:tcPr>
          <w:p w14:paraId="45AAB375"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0B35902"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3B6A82D6"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r w:rsidR="00F64D97" w:rsidRPr="002B0721" w14:paraId="7DB77F05"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14:paraId="6886BE1D" w14:textId="77777777" w:rsidR="00AF136A" w:rsidRPr="00032A4C" w:rsidRDefault="00AF136A" w:rsidP="00D92C6C">
            <w:pPr>
              <w:rPr>
                <w:sz w:val="18"/>
                <w:szCs w:val="18"/>
                <w:highlight w:val="yellow"/>
              </w:rPr>
            </w:pPr>
            <w:r w:rsidRPr="00032A4C">
              <w:rPr>
                <w:sz w:val="18"/>
                <w:szCs w:val="18"/>
                <w:highlight w:val="yellow"/>
              </w:rPr>
              <w:t>&lt;&lt;KITÖLTENDŐ&gt;&gt;</w:t>
            </w:r>
          </w:p>
        </w:tc>
        <w:tc>
          <w:tcPr>
            <w:tcW w:w="1218" w:type="dxa"/>
          </w:tcPr>
          <w:p w14:paraId="1438511B"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4F8C3041"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0241756"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13A02366"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17ABBC7"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5C826BDA"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12706AA2" w14:textId="77777777" w:rsidR="00AF136A" w:rsidRPr="00032A4C" w:rsidRDefault="00AF136A" w:rsidP="00D92C6C">
            <w:pPr>
              <w:cnfStyle w:val="000000100000" w:firstRow="0" w:lastRow="0" w:firstColumn="0" w:lastColumn="0" w:oddVBand="0" w:evenVBand="0" w:oddHBand="1" w:evenHBand="0" w:firstRowFirstColumn="0" w:firstRowLastColumn="0" w:lastRowFirstColumn="0" w:lastRowLastColumn="0"/>
              <w:rPr>
                <w:sz w:val="18"/>
                <w:szCs w:val="18"/>
                <w:highlight w:val="yellow"/>
              </w:rPr>
            </w:pPr>
          </w:p>
        </w:tc>
      </w:tr>
      <w:tr w:rsidR="00F64D97" w:rsidRPr="002B0721" w14:paraId="6E31C464" w14:textId="77777777" w:rsidTr="00D92C6C">
        <w:tc>
          <w:tcPr>
            <w:cnfStyle w:val="001000000000" w:firstRow="0" w:lastRow="0" w:firstColumn="1" w:lastColumn="0" w:oddVBand="0" w:evenVBand="0" w:oddHBand="0" w:evenHBand="0" w:firstRowFirstColumn="0" w:firstRowLastColumn="0" w:lastRowFirstColumn="0" w:lastRowLastColumn="0"/>
            <w:tcW w:w="1218" w:type="dxa"/>
          </w:tcPr>
          <w:p w14:paraId="0390EF89" w14:textId="77777777" w:rsidR="00AF136A" w:rsidRPr="00032A4C" w:rsidRDefault="00AF136A" w:rsidP="00D92C6C">
            <w:pPr>
              <w:rPr>
                <w:sz w:val="18"/>
                <w:szCs w:val="18"/>
                <w:highlight w:val="yellow"/>
              </w:rPr>
            </w:pPr>
            <w:r w:rsidRPr="00032A4C">
              <w:rPr>
                <w:sz w:val="18"/>
                <w:szCs w:val="18"/>
                <w:highlight w:val="yellow"/>
              </w:rPr>
              <w:t>&lt;&lt;KITÖLTENDŐ&gt;&gt;</w:t>
            </w:r>
          </w:p>
        </w:tc>
        <w:tc>
          <w:tcPr>
            <w:tcW w:w="1218" w:type="dxa"/>
          </w:tcPr>
          <w:p w14:paraId="6A42130A"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3E15049"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75D1B857"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999C7D0"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6B9320BF"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065C2358"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32A4C">
              <w:rPr>
                <w:sz w:val="18"/>
                <w:szCs w:val="18"/>
                <w:highlight w:val="yellow"/>
              </w:rPr>
              <w:t>&lt;&lt;KITÖLTENDŐ&gt;&gt;</w:t>
            </w:r>
          </w:p>
        </w:tc>
        <w:tc>
          <w:tcPr>
            <w:tcW w:w="1218" w:type="dxa"/>
          </w:tcPr>
          <w:p w14:paraId="17C4A670" w14:textId="77777777" w:rsidR="00AF136A" w:rsidRPr="00032A4C" w:rsidRDefault="00AF136A" w:rsidP="00D92C6C">
            <w:pPr>
              <w:cnfStyle w:val="000000000000" w:firstRow="0" w:lastRow="0" w:firstColumn="0" w:lastColumn="0" w:oddVBand="0" w:evenVBand="0" w:oddHBand="0" w:evenHBand="0" w:firstRowFirstColumn="0" w:firstRowLastColumn="0" w:lastRowFirstColumn="0" w:lastRowLastColumn="0"/>
              <w:rPr>
                <w:sz w:val="18"/>
                <w:szCs w:val="18"/>
                <w:highlight w:val="yellow"/>
              </w:rPr>
            </w:pPr>
          </w:p>
        </w:tc>
      </w:tr>
    </w:tbl>
    <w:p w14:paraId="064828E4" w14:textId="77777777" w:rsidR="00AF136A" w:rsidRPr="002B0721" w:rsidRDefault="00AF136A" w:rsidP="00AF136A">
      <w:pPr>
        <w:pStyle w:val="Heading3"/>
      </w:pPr>
      <w:r w:rsidRPr="002B0721">
        <w:t xml:space="preserve">C) Elemzések és ábrák </w:t>
      </w:r>
    </w:p>
    <w:p w14:paraId="19557059"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Trend(</w:t>
      </w:r>
      <w:proofErr w:type="spellStart"/>
      <w:r w:rsidRPr="002B0721">
        <w:t>ek</w:t>
      </w:r>
      <w:proofErr w:type="spellEnd"/>
      <w:r w:rsidRPr="002B0721">
        <w:t>) ábrával</w:t>
      </w:r>
    </w:p>
    <w:p w14:paraId="7DC3BEAD"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Szegmentáció (ha releváns)</w:t>
      </w:r>
    </w:p>
    <w:p w14:paraId="5976E377"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Benchmark (ha elérhető)</w:t>
      </w:r>
    </w:p>
    <w:p w14:paraId="4101265F"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w:t>
      </w:r>
      <w:proofErr w:type="spellStart"/>
      <w:r w:rsidRPr="002B0721">
        <w:t>Gap</w:t>
      </w:r>
      <w:proofErr w:type="spellEnd"/>
      <w:r w:rsidRPr="002B0721">
        <w:t>/IPA mátrix (ha releváns)</w:t>
      </w:r>
    </w:p>
    <w:p w14:paraId="6429D1B1" w14:textId="77777777" w:rsidR="00AF136A" w:rsidRPr="002B0721" w:rsidRDefault="00AF136A" w:rsidP="00AF136A">
      <w:pPr>
        <w:pStyle w:val="ListParagraph"/>
        <w:numPr>
          <w:ilvl w:val="0"/>
          <w:numId w:val="5"/>
        </w:numPr>
      </w:pPr>
      <w:proofErr w:type="gramStart"/>
      <w:r w:rsidRPr="002B0721">
        <w:t>[ ]</w:t>
      </w:r>
      <w:proofErr w:type="gramEnd"/>
      <w:r w:rsidRPr="002B0721">
        <w:t xml:space="preserve"> Kritikus pontok (tantárgyak) / kritikus tanulmányi utal </w:t>
      </w:r>
    </w:p>
    <w:p w14:paraId="335E6292" w14:textId="77777777" w:rsidR="00AF136A" w:rsidRPr="002B0721" w:rsidRDefault="00AF136A" w:rsidP="00AF136A">
      <w:pPr>
        <w:pStyle w:val="Heading3"/>
      </w:pPr>
      <w:r w:rsidRPr="002B0721">
        <w:t>D) Fő megállapítások</w:t>
      </w:r>
    </w:p>
    <w:p w14:paraId="46F84AC3" w14:textId="77777777" w:rsidR="00AF136A" w:rsidRPr="002B0721" w:rsidRDefault="00AF136A" w:rsidP="00AF136A">
      <w:r w:rsidRPr="002B0721">
        <w:rPr>
          <w:i/>
          <w:color w:val="005A9C"/>
        </w:rPr>
        <w:t>&lt;&lt;3-7 pont&gt;&gt;</w:t>
      </w:r>
    </w:p>
    <w:p w14:paraId="0F36E1E8" w14:textId="4D29D72E" w:rsidR="00F64D97" w:rsidRPr="00F64D97" w:rsidRDefault="00F64D97" w:rsidP="00F64D97">
      <w:pPr>
        <w:pStyle w:val="ListParagraph"/>
        <w:numPr>
          <w:ilvl w:val="0"/>
          <w:numId w:val="6"/>
        </w:numPr>
        <w:rPr>
          <w:highlight w:val="yellow"/>
        </w:rPr>
      </w:pPr>
      <w:r w:rsidRPr="00F64D97">
        <w:rPr>
          <w:highlight w:val="yellow"/>
        </w:rPr>
        <w:t>A támogatások léteznek, de nem jutnak el azokhoz, akiknek leginkább kell.</w:t>
      </w:r>
    </w:p>
    <w:p w14:paraId="3D59C6E0" w14:textId="0978FBEF" w:rsidR="00F64D97" w:rsidRPr="00DB3788" w:rsidRDefault="00F64D97" w:rsidP="00F64D97">
      <w:pPr>
        <w:pStyle w:val="ListParagraph"/>
        <w:numPr>
          <w:ilvl w:val="0"/>
          <w:numId w:val="6"/>
        </w:numPr>
        <w:rPr>
          <w:highlight w:val="yellow"/>
        </w:rPr>
      </w:pPr>
      <w:r w:rsidRPr="00DB3788">
        <w:rPr>
          <w:highlight w:val="yellow"/>
        </w:rPr>
        <w:t>A tananyag, illetve az értékelés egy része indokolatlanul merev, ezért bizonyos csoportok aránytalanul sérülnek.</w:t>
      </w:r>
    </w:p>
    <w:p w14:paraId="7736774B" w14:textId="103ADDC0" w:rsidR="00AF136A" w:rsidRPr="002B0721" w:rsidRDefault="00AF136A" w:rsidP="00F64D97">
      <w:pPr>
        <w:pStyle w:val="ListParagraph"/>
        <w:numPr>
          <w:ilvl w:val="0"/>
          <w:numId w:val="6"/>
        </w:numPr>
      </w:pPr>
      <w:r w:rsidRPr="002B0721">
        <w:t>&lt;&lt;KITÖLTENDŐ&gt;&gt;</w:t>
      </w:r>
    </w:p>
    <w:p w14:paraId="7F8B609E" w14:textId="77777777" w:rsidR="00AF136A" w:rsidRPr="002B0721" w:rsidRDefault="00AF136A" w:rsidP="00AF136A">
      <w:pPr>
        <w:pStyle w:val="Heading3"/>
      </w:pPr>
      <w:r w:rsidRPr="002B0721">
        <w:t>E) Döntési opciók</w:t>
      </w:r>
    </w:p>
    <w:p w14:paraId="21068EA7" w14:textId="77777777" w:rsidR="00AF136A" w:rsidRPr="002B0721" w:rsidRDefault="00AF136A" w:rsidP="00AF136A">
      <w:r w:rsidRPr="002B0721">
        <w:t>Döntési opciók (min. 2-3 alternatíva)</w:t>
      </w:r>
    </w:p>
    <w:tbl>
      <w:tblPr>
        <w:tblStyle w:val="GridTable5Dark-Accent1"/>
        <w:tblW w:w="0" w:type="auto"/>
        <w:tblLook w:val="04A0" w:firstRow="1" w:lastRow="0" w:firstColumn="1" w:lastColumn="0" w:noHBand="0" w:noVBand="1"/>
      </w:tblPr>
      <w:tblGrid>
        <w:gridCol w:w="688"/>
        <w:gridCol w:w="1659"/>
        <w:gridCol w:w="1663"/>
        <w:gridCol w:w="1684"/>
        <w:gridCol w:w="1684"/>
        <w:gridCol w:w="1684"/>
      </w:tblGrid>
      <w:tr w:rsidR="00AF136A" w:rsidRPr="002B0721" w14:paraId="221C861E" w14:textId="77777777" w:rsidTr="00DB37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8" w:type="dxa"/>
          </w:tcPr>
          <w:p w14:paraId="139B5CE2" w14:textId="77777777" w:rsidR="00AF136A" w:rsidRPr="002B0721" w:rsidRDefault="00AF136A" w:rsidP="00D92C6C">
            <w:pPr>
              <w:rPr>
                <w:sz w:val="18"/>
                <w:szCs w:val="18"/>
              </w:rPr>
            </w:pPr>
            <w:r w:rsidRPr="002B0721">
              <w:rPr>
                <w:sz w:val="18"/>
                <w:szCs w:val="18"/>
              </w:rPr>
              <w:t>Opció</w:t>
            </w:r>
          </w:p>
        </w:tc>
        <w:tc>
          <w:tcPr>
            <w:tcW w:w="1659" w:type="dxa"/>
          </w:tcPr>
          <w:p w14:paraId="4A471721"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Leírás</w:t>
            </w:r>
          </w:p>
        </w:tc>
        <w:tc>
          <w:tcPr>
            <w:tcW w:w="1663" w:type="dxa"/>
          </w:tcPr>
          <w:p w14:paraId="244F1C57"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 (KPI)</w:t>
            </w:r>
          </w:p>
        </w:tc>
        <w:tc>
          <w:tcPr>
            <w:tcW w:w="1684" w:type="dxa"/>
          </w:tcPr>
          <w:p w14:paraId="09FEF6CC"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Erőforrásigény / költség</w:t>
            </w:r>
          </w:p>
        </w:tc>
        <w:tc>
          <w:tcPr>
            <w:tcW w:w="1684" w:type="dxa"/>
          </w:tcPr>
          <w:p w14:paraId="154EA4A3"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 (hónap)</w:t>
            </w:r>
          </w:p>
        </w:tc>
        <w:tc>
          <w:tcPr>
            <w:tcW w:w="1684" w:type="dxa"/>
          </w:tcPr>
          <w:p w14:paraId="050EC15B"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Fő kockázat + </w:t>
            </w:r>
            <w:proofErr w:type="spellStart"/>
            <w:r w:rsidRPr="002B0721">
              <w:rPr>
                <w:sz w:val="18"/>
                <w:szCs w:val="18"/>
              </w:rPr>
              <w:t>mitigáció</w:t>
            </w:r>
            <w:proofErr w:type="spellEnd"/>
          </w:p>
        </w:tc>
      </w:tr>
      <w:tr w:rsidR="00F64D97" w:rsidRPr="002B0721" w14:paraId="5A9C7393" w14:textId="77777777" w:rsidTr="00DB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14:paraId="3B52005F" w14:textId="77777777" w:rsidR="00F64D97" w:rsidRPr="002B0721" w:rsidRDefault="00F64D97" w:rsidP="00F64D97">
            <w:pPr>
              <w:rPr>
                <w:sz w:val="18"/>
                <w:szCs w:val="18"/>
              </w:rPr>
            </w:pPr>
            <w:r w:rsidRPr="002B0721">
              <w:rPr>
                <w:sz w:val="18"/>
                <w:szCs w:val="18"/>
              </w:rPr>
              <w:t>Opció 1</w:t>
            </w:r>
          </w:p>
        </w:tc>
        <w:tc>
          <w:tcPr>
            <w:tcW w:w="1659" w:type="dxa"/>
          </w:tcPr>
          <w:p w14:paraId="53E4FD53" w14:textId="68533631"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rFonts w:eastAsia="Noto Sans" w:cs="Noto Sans"/>
                <w:kern w:val="24"/>
                <w:sz w:val="18"/>
                <w:szCs w:val="18"/>
                <w:highlight w:val="yellow"/>
              </w:rPr>
              <w:t>UDL</w:t>
            </w:r>
            <w:r w:rsidRPr="00DB3788">
              <w:rPr>
                <w:rFonts w:eastAsia="Noto Sans" w:cs="Noto Sans"/>
                <w:kern w:val="24"/>
                <w:sz w:val="18"/>
                <w:szCs w:val="18"/>
                <w:highlight w:val="yellow"/>
              </w:rPr>
              <w:noBreakHyphen/>
              <w:t xml:space="preserve">alapú </w:t>
            </w:r>
            <w:proofErr w:type="spellStart"/>
            <w:r w:rsidRPr="00DB3788">
              <w:rPr>
                <w:rFonts w:eastAsia="Noto Sans" w:cs="Noto Sans"/>
                <w:kern w:val="24"/>
                <w:sz w:val="18"/>
                <w:szCs w:val="18"/>
                <w:highlight w:val="yellow"/>
              </w:rPr>
              <w:t>újratervezés</w:t>
            </w:r>
            <w:proofErr w:type="spellEnd"/>
            <w:r w:rsidRPr="00DB3788">
              <w:rPr>
                <w:rFonts w:eastAsia="Noto Sans" w:cs="Noto Sans"/>
                <w:kern w:val="24"/>
                <w:sz w:val="18"/>
                <w:szCs w:val="18"/>
                <w:highlight w:val="yellow"/>
              </w:rPr>
              <w:t xml:space="preserve"> pilot tárgyakkal (tananyag + értékelés + tanulásszervezés) </w:t>
            </w:r>
          </w:p>
        </w:tc>
        <w:tc>
          <w:tcPr>
            <w:tcW w:w="1663" w:type="dxa"/>
          </w:tcPr>
          <w:p w14:paraId="12D73791" w14:textId="27AF120B" w:rsidR="00F64D97" w:rsidRPr="00DB3788" w:rsidRDefault="00DB3788"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Lemorzsolódás és kreditelőrehaladás</w:t>
            </w:r>
            <w:r w:rsidRPr="00DB3788">
              <w:rPr>
                <w:sz w:val="18"/>
                <w:szCs w:val="18"/>
                <w:highlight w:val="yellow"/>
              </w:rPr>
              <w:t xml:space="preserve">; </w:t>
            </w:r>
            <w:r w:rsidRPr="00DB3788">
              <w:rPr>
                <w:sz w:val="18"/>
                <w:szCs w:val="18"/>
                <w:highlight w:val="yellow"/>
              </w:rPr>
              <w:t>Választható képzési tartalom mértéke</w:t>
            </w:r>
          </w:p>
        </w:tc>
        <w:tc>
          <w:tcPr>
            <w:tcW w:w="1684" w:type="dxa"/>
          </w:tcPr>
          <w:p w14:paraId="657B640E" w14:textId="77777777"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49BA57A2" w14:textId="77777777"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0CC0C6EF" w14:textId="77777777"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&lt;&lt;KITÖLTENDŐ&gt;&gt;</w:t>
            </w:r>
          </w:p>
        </w:tc>
      </w:tr>
      <w:tr w:rsidR="00F64D97" w:rsidRPr="002B0721" w14:paraId="0795CC6B" w14:textId="77777777" w:rsidTr="00DB3788">
        <w:tc>
          <w:tcPr>
            <w:cnfStyle w:val="001000000000" w:firstRow="0" w:lastRow="0" w:firstColumn="1" w:lastColumn="0" w:oddVBand="0" w:evenVBand="0" w:oddHBand="0" w:evenHBand="0" w:firstRowFirstColumn="0" w:firstRowLastColumn="0" w:lastRowFirstColumn="0" w:lastRowLastColumn="0"/>
            <w:tcW w:w="688" w:type="dxa"/>
          </w:tcPr>
          <w:p w14:paraId="3F0AA372" w14:textId="77777777" w:rsidR="00F64D97" w:rsidRPr="002B0721" w:rsidRDefault="00F64D97" w:rsidP="00F64D97">
            <w:pPr>
              <w:rPr>
                <w:sz w:val="18"/>
                <w:szCs w:val="18"/>
              </w:rPr>
            </w:pPr>
            <w:r w:rsidRPr="002B0721">
              <w:rPr>
                <w:sz w:val="18"/>
                <w:szCs w:val="18"/>
              </w:rPr>
              <w:t>Opció 2</w:t>
            </w:r>
          </w:p>
        </w:tc>
        <w:tc>
          <w:tcPr>
            <w:tcW w:w="1659" w:type="dxa"/>
          </w:tcPr>
          <w:p w14:paraId="162D2C7A" w14:textId="16EB5611" w:rsidR="00F64D97" w:rsidRPr="00DB3788" w:rsidRDefault="00F64D97" w:rsidP="00F64D97">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rFonts w:eastAsia="Noto Sans" w:cs="Noto Sans"/>
                <w:kern w:val="24"/>
                <w:sz w:val="18"/>
                <w:szCs w:val="18"/>
                <w:highlight w:val="yellow"/>
              </w:rPr>
              <w:t xml:space="preserve">Akadálymentesítés standardizálása (minimum követelmények + ellenőrzőlista + felelős) </w:t>
            </w:r>
          </w:p>
        </w:tc>
        <w:tc>
          <w:tcPr>
            <w:tcW w:w="1663" w:type="dxa"/>
          </w:tcPr>
          <w:p w14:paraId="5E0FF28D" w14:textId="089AAA93" w:rsidR="00F64D97" w:rsidRPr="00DB3788" w:rsidRDefault="00DB3788" w:rsidP="00F64D97">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Lemorzsolódás és kreditelőrehaladás</w:t>
            </w:r>
          </w:p>
        </w:tc>
        <w:tc>
          <w:tcPr>
            <w:tcW w:w="1684" w:type="dxa"/>
          </w:tcPr>
          <w:p w14:paraId="24D8E7D6" w14:textId="77777777" w:rsidR="00F64D97" w:rsidRPr="00DB3788" w:rsidRDefault="00F64D97" w:rsidP="00F64D97">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3042C3B3" w14:textId="77777777" w:rsidR="00F64D97" w:rsidRPr="00DB3788" w:rsidRDefault="00F64D97" w:rsidP="00F64D97">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0C5A8465" w14:textId="77777777" w:rsidR="00F64D97" w:rsidRPr="00DB3788" w:rsidRDefault="00F64D97" w:rsidP="00F64D97">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&lt;&lt;KITÖLTENDŐ&gt;&gt;</w:t>
            </w:r>
          </w:p>
        </w:tc>
      </w:tr>
      <w:tr w:rsidR="00F64D97" w:rsidRPr="002B0721" w14:paraId="7D8BEC07" w14:textId="77777777" w:rsidTr="00DB3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14:paraId="18CFE16A" w14:textId="77777777" w:rsidR="00F64D97" w:rsidRPr="002B0721" w:rsidRDefault="00F64D97" w:rsidP="00F64D97">
            <w:pPr>
              <w:rPr>
                <w:sz w:val="18"/>
                <w:szCs w:val="18"/>
              </w:rPr>
            </w:pPr>
            <w:r w:rsidRPr="002B0721">
              <w:rPr>
                <w:sz w:val="18"/>
                <w:szCs w:val="18"/>
              </w:rPr>
              <w:t>Opció 3</w:t>
            </w:r>
          </w:p>
        </w:tc>
        <w:tc>
          <w:tcPr>
            <w:tcW w:w="1659" w:type="dxa"/>
          </w:tcPr>
          <w:p w14:paraId="7A07705A" w14:textId="197F4AA7"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rFonts w:eastAsia="Noto Sans" w:cs="Noto Sans"/>
                <w:kern w:val="24"/>
                <w:sz w:val="18"/>
                <w:szCs w:val="18"/>
                <w:highlight w:val="yellow"/>
              </w:rPr>
              <w:t xml:space="preserve">„Korai jelzőrendszer + célzott támogatás” (a lemorzsolódási kockázat korai felismerése) </w:t>
            </w:r>
          </w:p>
        </w:tc>
        <w:tc>
          <w:tcPr>
            <w:tcW w:w="1663" w:type="dxa"/>
          </w:tcPr>
          <w:p w14:paraId="0A6E2C87" w14:textId="63B0288C" w:rsidR="00F64D97" w:rsidRPr="00DB3788" w:rsidRDefault="00DB3788"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Lemorzsolódás és kreditelőrehaladás</w:t>
            </w:r>
          </w:p>
        </w:tc>
        <w:tc>
          <w:tcPr>
            <w:tcW w:w="1684" w:type="dxa"/>
          </w:tcPr>
          <w:p w14:paraId="3FAEE606" w14:textId="77777777"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33BB49C0" w14:textId="77777777"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33090EDC" w14:textId="77777777" w:rsidR="00F64D97" w:rsidRPr="00DB3788" w:rsidRDefault="00F64D97" w:rsidP="00F64D97">
            <w:pP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B3788">
              <w:rPr>
                <w:sz w:val="18"/>
                <w:szCs w:val="18"/>
                <w:highlight w:val="yellow"/>
              </w:rPr>
              <w:t>&lt;&lt;KITÖLTENDŐ&gt;&gt;</w:t>
            </w:r>
          </w:p>
        </w:tc>
      </w:tr>
      <w:tr w:rsidR="00DB3788" w:rsidRPr="002B0721" w14:paraId="3304C9B2" w14:textId="77777777" w:rsidTr="00DB3788">
        <w:tc>
          <w:tcPr>
            <w:cnfStyle w:val="001000000000" w:firstRow="0" w:lastRow="0" w:firstColumn="1" w:lastColumn="0" w:oddVBand="0" w:evenVBand="0" w:oddHBand="0" w:evenHBand="0" w:firstRowFirstColumn="0" w:firstRowLastColumn="0" w:lastRowFirstColumn="0" w:lastRowLastColumn="0"/>
            <w:tcW w:w="688" w:type="dxa"/>
          </w:tcPr>
          <w:p w14:paraId="3E1C80AB" w14:textId="5A157739" w:rsidR="00DB3788" w:rsidRPr="002B0721" w:rsidRDefault="00DB3788" w:rsidP="00DB3788">
            <w:pPr>
              <w:rPr>
                <w:sz w:val="18"/>
                <w:szCs w:val="18"/>
              </w:rPr>
            </w:pPr>
            <w:r>
              <w:rPr>
                <w:sz w:val="18"/>
                <w:szCs w:val="18"/>
              </w:rPr>
              <w:t>Opció 4</w:t>
            </w:r>
          </w:p>
        </w:tc>
        <w:tc>
          <w:tcPr>
            <w:tcW w:w="1659" w:type="dxa"/>
          </w:tcPr>
          <w:p w14:paraId="6680F9CF" w14:textId="435FB7DE" w:rsidR="00DB3788" w:rsidRPr="00DB3788" w:rsidRDefault="00DB3788" w:rsidP="00DB3788">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rFonts w:eastAsia="Noto Sans" w:cs="Noto Sans"/>
                <w:kern w:val="24"/>
                <w:sz w:val="18"/>
                <w:szCs w:val="18"/>
                <w:highlight w:val="yellow"/>
              </w:rPr>
              <w:t>Kommunikáció és elérés javítása (szolgáltatások, jogosultságok, útvonalak láthatóvá tétele)</w:t>
            </w:r>
          </w:p>
        </w:tc>
        <w:tc>
          <w:tcPr>
            <w:tcW w:w="1663" w:type="dxa"/>
          </w:tcPr>
          <w:p w14:paraId="7CFC644B" w14:textId="0CB29CFF" w:rsidR="00DB3788" w:rsidRPr="00DB3788" w:rsidRDefault="00DB3788" w:rsidP="00DB3788">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Hallgatói jóllét / támogatás igénybevétele</w:t>
            </w:r>
          </w:p>
        </w:tc>
        <w:tc>
          <w:tcPr>
            <w:tcW w:w="1684" w:type="dxa"/>
          </w:tcPr>
          <w:p w14:paraId="79A0993D" w14:textId="1A8A3CC9" w:rsidR="00DB3788" w:rsidRPr="00DB3788" w:rsidRDefault="00DB3788" w:rsidP="00DB3788">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2123AD14" w14:textId="444AA3E4" w:rsidR="00DB3788" w:rsidRPr="00DB3788" w:rsidRDefault="00DB3788" w:rsidP="00DB3788">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&lt;&lt;KITÖLTENDŐ&gt;&gt;</w:t>
            </w:r>
          </w:p>
        </w:tc>
        <w:tc>
          <w:tcPr>
            <w:tcW w:w="1684" w:type="dxa"/>
          </w:tcPr>
          <w:p w14:paraId="70B38BBD" w14:textId="7E7E367E" w:rsidR="00DB3788" w:rsidRPr="00DB3788" w:rsidRDefault="00DB3788" w:rsidP="00DB3788">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DB3788">
              <w:rPr>
                <w:sz w:val="18"/>
                <w:szCs w:val="18"/>
                <w:highlight w:val="yellow"/>
              </w:rPr>
              <w:t>&lt;&lt;KITÖLTENDŐ&gt;&gt;</w:t>
            </w:r>
          </w:p>
        </w:tc>
      </w:tr>
    </w:tbl>
    <w:p w14:paraId="7BEACE23" w14:textId="77777777" w:rsidR="00AF136A" w:rsidRPr="002B0721" w:rsidRDefault="00AF136A" w:rsidP="00AF136A">
      <w:pPr>
        <w:pStyle w:val="Heading3"/>
      </w:pPr>
      <w:r w:rsidRPr="002B0721">
        <w:t>F) Kockázatok és kezelések</w:t>
      </w:r>
    </w:p>
    <w:p w14:paraId="79F30FD2" w14:textId="77777777" w:rsidR="00AF136A" w:rsidRPr="002B0721" w:rsidRDefault="00AF136A" w:rsidP="00AF136A">
      <w:r w:rsidRPr="002B0721">
        <w:rPr>
          <w:i/>
          <w:color w:val="005A9C"/>
        </w:rPr>
        <w:t>&lt;&lt;</w:t>
      </w:r>
      <w:proofErr w:type="spellStart"/>
      <w:r w:rsidRPr="002B0721">
        <w:rPr>
          <w:i/>
          <w:color w:val="005A9C"/>
        </w:rPr>
        <w:t>max</w:t>
      </w:r>
      <w:proofErr w:type="spellEnd"/>
      <w:r w:rsidRPr="002B0721">
        <w:rPr>
          <w:i/>
          <w:color w:val="005A9C"/>
        </w:rPr>
        <w:t>. 5 kockázat&gt;&gt;</w:t>
      </w:r>
    </w:p>
    <w:p w14:paraId="7CB2D5E9" w14:textId="77777777" w:rsidR="00AF136A" w:rsidRPr="002B0721" w:rsidRDefault="00AF136A" w:rsidP="00AF136A">
      <w:r w:rsidRPr="002B0721">
        <w:t>Bizonyíték-hivatkozások (ábrák, táblák, mellékletek)</w:t>
      </w:r>
    </w:p>
    <w:tbl>
      <w:tblPr>
        <w:tblStyle w:val="GridTable4-Accent1"/>
        <w:tblW w:w="0" w:type="auto"/>
        <w:tblLook w:val="04A0" w:firstRow="1" w:lastRow="0" w:firstColumn="1" w:lastColumn="0" w:noHBand="0" w:noVBand="1"/>
      </w:tblPr>
      <w:tblGrid>
        <w:gridCol w:w="2308"/>
        <w:gridCol w:w="2191"/>
        <w:gridCol w:w="2392"/>
        <w:gridCol w:w="2171"/>
      </w:tblGrid>
      <w:tr w:rsidR="00AF136A" w:rsidRPr="002B0721" w14:paraId="46BFACEE"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73C537C3" w14:textId="77777777" w:rsidR="00AF136A" w:rsidRPr="002B0721" w:rsidRDefault="00AF136A" w:rsidP="00D92C6C">
            <w:pPr>
              <w:jc w:val="center"/>
              <w:rPr>
                <w:sz w:val="18"/>
                <w:szCs w:val="18"/>
              </w:rPr>
            </w:pPr>
            <w:r w:rsidRPr="002B0721">
              <w:rPr>
                <w:sz w:val="18"/>
                <w:szCs w:val="18"/>
              </w:rPr>
              <w:t>Állítás / megállapítás</w:t>
            </w:r>
          </w:p>
        </w:tc>
        <w:tc>
          <w:tcPr>
            <w:tcW w:w="2191" w:type="dxa"/>
          </w:tcPr>
          <w:p w14:paraId="6FF9383C"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típusa</w:t>
            </w:r>
          </w:p>
        </w:tc>
        <w:tc>
          <w:tcPr>
            <w:tcW w:w="2392" w:type="dxa"/>
          </w:tcPr>
          <w:p w14:paraId="46EF5480"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Hivatkozás (ábra/táblázat/melléklet)</w:t>
            </w:r>
          </w:p>
        </w:tc>
        <w:tc>
          <w:tcPr>
            <w:tcW w:w="2171" w:type="dxa"/>
          </w:tcPr>
          <w:p w14:paraId="66899255" w14:textId="77777777" w:rsidR="00AF136A" w:rsidRPr="002B0721" w:rsidRDefault="00AF136A" w:rsidP="00D92C6C">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Megjegyzés</w:t>
            </w:r>
          </w:p>
        </w:tc>
      </w:tr>
      <w:tr w:rsidR="00AF136A" w:rsidRPr="002B0721" w14:paraId="24F7791A"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425A0F70" w14:textId="77777777" w:rsidR="00AF136A" w:rsidRPr="002B0721" w:rsidRDefault="00AF136A" w:rsidP="00D92C6C">
            <w:pPr>
              <w:rPr>
                <w:sz w:val="18"/>
                <w:szCs w:val="18"/>
              </w:rPr>
            </w:pPr>
            <w:r w:rsidRPr="002B0721">
              <w:rPr>
                <w:sz w:val="18"/>
                <w:szCs w:val="18"/>
              </w:rPr>
              <w:t>&lt;&lt;KITÖLTENDŐ&gt;&gt;</w:t>
            </w:r>
          </w:p>
        </w:tc>
        <w:tc>
          <w:tcPr>
            <w:tcW w:w="2191" w:type="dxa"/>
          </w:tcPr>
          <w:p w14:paraId="140F018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1EBA303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67D9AE1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31BC8A4F"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44ED9364" w14:textId="77777777" w:rsidR="00AF136A" w:rsidRPr="002B0721" w:rsidRDefault="00AF136A" w:rsidP="00D92C6C">
            <w:pPr>
              <w:rPr>
                <w:sz w:val="18"/>
                <w:szCs w:val="18"/>
              </w:rPr>
            </w:pPr>
            <w:r w:rsidRPr="002B0721">
              <w:rPr>
                <w:sz w:val="18"/>
                <w:szCs w:val="18"/>
              </w:rPr>
              <w:t>&lt;&lt;KITÖLTENDŐ&gt;&gt;</w:t>
            </w:r>
          </w:p>
        </w:tc>
        <w:tc>
          <w:tcPr>
            <w:tcW w:w="2191" w:type="dxa"/>
          </w:tcPr>
          <w:p w14:paraId="693C3EF7"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748693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3FF8400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32320F9E"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912BCA9" w14:textId="77777777" w:rsidR="00AF136A" w:rsidRPr="002B0721" w:rsidRDefault="00AF136A" w:rsidP="00D92C6C">
            <w:pPr>
              <w:rPr>
                <w:sz w:val="18"/>
                <w:szCs w:val="18"/>
              </w:rPr>
            </w:pPr>
            <w:r w:rsidRPr="002B0721">
              <w:rPr>
                <w:sz w:val="18"/>
                <w:szCs w:val="18"/>
              </w:rPr>
              <w:t>&lt;&lt;KITÖLTENDŐ&gt;&gt;</w:t>
            </w:r>
          </w:p>
        </w:tc>
        <w:tc>
          <w:tcPr>
            <w:tcW w:w="2191" w:type="dxa"/>
          </w:tcPr>
          <w:p w14:paraId="4EDC6F91"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79B0F52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14B9AD1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3009D73D"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458DE615" w14:textId="77777777" w:rsidR="00AF136A" w:rsidRPr="002B0721" w:rsidRDefault="00AF136A" w:rsidP="00D92C6C">
            <w:pPr>
              <w:rPr>
                <w:sz w:val="18"/>
                <w:szCs w:val="18"/>
              </w:rPr>
            </w:pPr>
            <w:r w:rsidRPr="002B0721">
              <w:rPr>
                <w:sz w:val="18"/>
                <w:szCs w:val="18"/>
              </w:rPr>
              <w:t>&lt;&lt;KITÖLTENDŐ&gt;&gt;</w:t>
            </w:r>
          </w:p>
        </w:tc>
        <w:tc>
          <w:tcPr>
            <w:tcW w:w="2191" w:type="dxa"/>
          </w:tcPr>
          <w:p w14:paraId="6FC08A9E"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892CB2E"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4289803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r w:rsidR="00AF136A" w:rsidRPr="002B0721" w14:paraId="466EE093"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4931DA6" w14:textId="77777777" w:rsidR="00AF136A" w:rsidRPr="002B0721" w:rsidRDefault="00AF136A" w:rsidP="00D92C6C">
            <w:pPr>
              <w:rPr>
                <w:sz w:val="18"/>
                <w:szCs w:val="18"/>
              </w:rPr>
            </w:pPr>
            <w:r w:rsidRPr="002B0721">
              <w:rPr>
                <w:sz w:val="18"/>
                <w:szCs w:val="18"/>
              </w:rPr>
              <w:t>&lt;&lt;KITÖLTENDŐ&gt;&gt;</w:t>
            </w:r>
          </w:p>
        </w:tc>
        <w:tc>
          <w:tcPr>
            <w:tcW w:w="2191" w:type="dxa"/>
          </w:tcPr>
          <w:p w14:paraId="1AE51EA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62D5D31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4010252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p>
        </w:tc>
      </w:tr>
      <w:tr w:rsidR="00AF136A" w:rsidRPr="002B0721" w14:paraId="430ACEE5" w14:textId="77777777" w:rsidTr="00D92C6C">
        <w:tc>
          <w:tcPr>
            <w:cnfStyle w:val="001000000000" w:firstRow="0" w:lastRow="0" w:firstColumn="1" w:lastColumn="0" w:oddVBand="0" w:evenVBand="0" w:oddHBand="0" w:evenHBand="0" w:firstRowFirstColumn="0" w:firstRowLastColumn="0" w:lastRowFirstColumn="0" w:lastRowLastColumn="0"/>
            <w:tcW w:w="2308" w:type="dxa"/>
          </w:tcPr>
          <w:p w14:paraId="26AA4E35" w14:textId="77777777" w:rsidR="00AF136A" w:rsidRPr="002B0721" w:rsidRDefault="00AF136A" w:rsidP="00D92C6C">
            <w:pPr>
              <w:rPr>
                <w:sz w:val="18"/>
                <w:szCs w:val="18"/>
              </w:rPr>
            </w:pPr>
            <w:r w:rsidRPr="002B0721">
              <w:rPr>
                <w:sz w:val="18"/>
                <w:szCs w:val="18"/>
              </w:rPr>
              <w:t>&lt;&lt;KITÖLTENDŐ&gt;&gt;</w:t>
            </w:r>
          </w:p>
        </w:tc>
        <w:tc>
          <w:tcPr>
            <w:tcW w:w="2191" w:type="dxa"/>
          </w:tcPr>
          <w:p w14:paraId="6E8702D2"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 xml:space="preserve">&lt;&lt;pl. kérdőíves felmérés / </w:t>
            </w:r>
            <w:proofErr w:type="spellStart"/>
            <w:r w:rsidRPr="002B0721">
              <w:rPr>
                <w:sz w:val="18"/>
                <w:szCs w:val="18"/>
              </w:rPr>
              <w:t>Neptun</w:t>
            </w:r>
            <w:proofErr w:type="spellEnd"/>
            <w:r w:rsidRPr="002B0721">
              <w:rPr>
                <w:sz w:val="18"/>
                <w:szCs w:val="18"/>
              </w:rPr>
              <w:t xml:space="preserve"> adatok / interjú / benchmark&gt;&gt;</w:t>
            </w:r>
          </w:p>
        </w:tc>
        <w:tc>
          <w:tcPr>
            <w:tcW w:w="2392" w:type="dxa"/>
          </w:tcPr>
          <w:p w14:paraId="4C841BA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 ábra; 5. táblázat; 3. melléklet&gt;&gt;</w:t>
            </w:r>
          </w:p>
        </w:tc>
        <w:tc>
          <w:tcPr>
            <w:tcW w:w="2171" w:type="dxa"/>
          </w:tcPr>
          <w:p w14:paraId="0325250B"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p>
        </w:tc>
      </w:tr>
    </w:tbl>
    <w:p w14:paraId="10AFEE01" w14:textId="77777777" w:rsidR="00AF136A" w:rsidRPr="002B0721" w:rsidRDefault="00AF136A" w:rsidP="00AF136A">
      <w:pPr>
        <w:pStyle w:val="Heading3"/>
      </w:pPr>
      <w:r w:rsidRPr="002B0721">
        <w:t>G) ESG kapcsolódás és bizonyíték</w:t>
      </w:r>
    </w:p>
    <w:tbl>
      <w:tblPr>
        <w:tblStyle w:val="GridTable4-Accent3"/>
        <w:tblW w:w="0" w:type="auto"/>
        <w:tblLook w:val="04A0" w:firstRow="1" w:lastRow="0" w:firstColumn="1" w:lastColumn="0" w:noHBand="0" w:noVBand="1"/>
      </w:tblPr>
      <w:tblGrid>
        <w:gridCol w:w="2960"/>
        <w:gridCol w:w="3034"/>
        <w:gridCol w:w="3068"/>
      </w:tblGrid>
      <w:tr w:rsidR="00AF136A" w:rsidRPr="002B0721" w14:paraId="565DDCC1" w14:textId="77777777" w:rsidTr="00D9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484A596E" w14:textId="77777777" w:rsidR="00AF136A" w:rsidRPr="002B0721" w:rsidRDefault="00AF136A" w:rsidP="00D92C6C">
            <w:pPr>
              <w:rPr>
                <w:sz w:val="18"/>
                <w:szCs w:val="18"/>
              </w:rPr>
            </w:pPr>
            <w:r w:rsidRPr="002B0721">
              <w:rPr>
                <w:sz w:val="18"/>
                <w:szCs w:val="18"/>
              </w:rPr>
              <w:t>ESG standard(ok)</w:t>
            </w:r>
          </w:p>
        </w:tc>
        <w:tc>
          <w:tcPr>
            <w:tcW w:w="3034" w:type="dxa"/>
          </w:tcPr>
          <w:p w14:paraId="6755AC39"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Hogyan kapcsolódik a pillérhez?</w:t>
            </w:r>
          </w:p>
        </w:tc>
        <w:tc>
          <w:tcPr>
            <w:tcW w:w="3068" w:type="dxa"/>
          </w:tcPr>
          <w:p w14:paraId="5CBCE9B0"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(fejezet/ábra/táblázat)</w:t>
            </w:r>
          </w:p>
        </w:tc>
      </w:tr>
      <w:tr w:rsidR="00AF136A" w:rsidRPr="002B0721" w14:paraId="19028947"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69EAAD74" w14:textId="77777777" w:rsidR="00AF136A" w:rsidRPr="002B0721" w:rsidRDefault="00AF136A" w:rsidP="00D92C6C">
            <w:pPr>
              <w:rPr>
                <w:sz w:val="18"/>
                <w:szCs w:val="18"/>
              </w:rPr>
            </w:pPr>
            <w:r w:rsidRPr="002B0721">
              <w:rPr>
                <w:sz w:val="18"/>
                <w:szCs w:val="18"/>
              </w:rPr>
              <w:t xml:space="preserve">1.2, </w:t>
            </w:r>
          </w:p>
        </w:tc>
        <w:tc>
          <w:tcPr>
            <w:tcW w:w="3034" w:type="dxa"/>
          </w:tcPr>
          <w:p w14:paraId="6B0D371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7506980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775BB29B"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115928B6" w14:textId="77777777" w:rsidR="00AF136A" w:rsidRPr="002B0721" w:rsidRDefault="00AF136A" w:rsidP="00D92C6C">
            <w:pPr>
              <w:rPr>
                <w:sz w:val="18"/>
                <w:szCs w:val="18"/>
              </w:rPr>
            </w:pPr>
            <w:r w:rsidRPr="002B0721">
              <w:rPr>
                <w:sz w:val="18"/>
                <w:szCs w:val="18"/>
              </w:rPr>
              <w:t>1.3</w:t>
            </w:r>
          </w:p>
        </w:tc>
        <w:tc>
          <w:tcPr>
            <w:tcW w:w="3034" w:type="dxa"/>
          </w:tcPr>
          <w:p w14:paraId="247B7F4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30CE59E7"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0FE95532"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13DFCD49" w14:textId="77777777" w:rsidR="00AF136A" w:rsidRPr="002B0721" w:rsidRDefault="00AF136A" w:rsidP="00D92C6C">
            <w:pPr>
              <w:rPr>
                <w:sz w:val="18"/>
                <w:szCs w:val="18"/>
              </w:rPr>
            </w:pPr>
            <w:r w:rsidRPr="002B0721">
              <w:rPr>
                <w:sz w:val="18"/>
                <w:szCs w:val="18"/>
              </w:rPr>
              <w:t>1.4</w:t>
            </w:r>
          </w:p>
        </w:tc>
        <w:tc>
          <w:tcPr>
            <w:tcW w:w="3034" w:type="dxa"/>
          </w:tcPr>
          <w:p w14:paraId="0BD32F6E"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3FCF547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656BB324"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05761677" w14:textId="77777777" w:rsidR="00AF136A" w:rsidRPr="002B0721" w:rsidRDefault="00AF136A" w:rsidP="00D92C6C">
            <w:pPr>
              <w:rPr>
                <w:sz w:val="18"/>
                <w:szCs w:val="18"/>
              </w:rPr>
            </w:pPr>
            <w:r w:rsidRPr="002B0721">
              <w:rPr>
                <w:sz w:val="18"/>
                <w:szCs w:val="18"/>
              </w:rPr>
              <w:t>1.6</w:t>
            </w:r>
          </w:p>
        </w:tc>
        <w:tc>
          <w:tcPr>
            <w:tcW w:w="3034" w:type="dxa"/>
          </w:tcPr>
          <w:p w14:paraId="1E4888A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5FAF5C1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4682A3CF" w14:textId="77777777" w:rsidTr="00D92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0" w:type="dxa"/>
          </w:tcPr>
          <w:p w14:paraId="6FC46A68" w14:textId="77777777" w:rsidR="00AF136A" w:rsidRPr="002B0721" w:rsidRDefault="00AF136A" w:rsidP="00D92C6C">
            <w:pPr>
              <w:rPr>
                <w:sz w:val="18"/>
                <w:szCs w:val="18"/>
              </w:rPr>
            </w:pPr>
            <w:r w:rsidRPr="002B0721">
              <w:rPr>
                <w:sz w:val="18"/>
                <w:szCs w:val="18"/>
              </w:rPr>
              <w:t>1.7</w:t>
            </w:r>
          </w:p>
        </w:tc>
        <w:tc>
          <w:tcPr>
            <w:tcW w:w="3034" w:type="dxa"/>
          </w:tcPr>
          <w:p w14:paraId="5D32FB0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3068" w:type="dxa"/>
          </w:tcPr>
          <w:p w14:paraId="07D6623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4255A724" w14:textId="77777777" w:rsidTr="00D92C6C">
        <w:tc>
          <w:tcPr>
            <w:cnfStyle w:val="001000000000" w:firstRow="0" w:lastRow="0" w:firstColumn="1" w:lastColumn="0" w:oddVBand="0" w:evenVBand="0" w:oddHBand="0" w:evenHBand="0" w:firstRowFirstColumn="0" w:firstRowLastColumn="0" w:lastRowFirstColumn="0" w:lastRowLastColumn="0"/>
            <w:tcW w:w="2960" w:type="dxa"/>
          </w:tcPr>
          <w:p w14:paraId="1CD30F26" w14:textId="77777777" w:rsidR="00AF136A" w:rsidRPr="002B0721" w:rsidRDefault="00AF136A" w:rsidP="00D92C6C">
            <w:pPr>
              <w:rPr>
                <w:sz w:val="18"/>
                <w:szCs w:val="18"/>
              </w:rPr>
            </w:pPr>
            <w:r w:rsidRPr="002B0721">
              <w:rPr>
                <w:sz w:val="18"/>
                <w:szCs w:val="18"/>
              </w:rPr>
              <w:t>1.9</w:t>
            </w:r>
          </w:p>
        </w:tc>
        <w:tc>
          <w:tcPr>
            <w:tcW w:w="3034" w:type="dxa"/>
          </w:tcPr>
          <w:p w14:paraId="67F8DB3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3068" w:type="dxa"/>
          </w:tcPr>
          <w:p w14:paraId="50FE2EC9"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6AF9ECE9" w14:textId="77777777" w:rsidR="00AF136A" w:rsidRPr="002B0721" w:rsidRDefault="00AF136A" w:rsidP="00AF136A"/>
    <w:p w14:paraId="1102A8E0" w14:textId="77777777" w:rsidR="00AF136A" w:rsidRPr="002B0721" w:rsidRDefault="00AF136A">
      <w:pPr>
        <w:spacing w:after="160" w:line="259" w:lineRule="auto"/>
        <w:jc w:val="left"/>
      </w:pPr>
      <w:r w:rsidRPr="002B0721">
        <w:br w:type="page"/>
      </w:r>
    </w:p>
    <w:p w14:paraId="2E15412A" w14:textId="77777777" w:rsidR="00AF136A" w:rsidRPr="002B0721" w:rsidRDefault="00AF136A" w:rsidP="00AF136A">
      <w:pPr>
        <w:pStyle w:val="Heading1"/>
      </w:pPr>
      <w:r w:rsidRPr="002B0721">
        <w:t>ESG-önértékelési melléklet</w:t>
      </w:r>
    </w:p>
    <w:p w14:paraId="51C9827B" w14:textId="77777777" w:rsidR="00DB61EF" w:rsidRDefault="00032A4C">
      <w:pPr>
        <w:pStyle w:val="Infobox"/>
      </w:pPr>
      <w:r>
        <w:t xml:space="preserve">INFOBOX: Ez a fejezet egy tömör megfelelési térkép, amely megmutatja, hogy a jelentés mely pontokon támasztja alá az ESG elvárásainak teljesülését. A cél nem az ESG szövegének megismétlése, hanem annak bizonyítása, hogy a programfelülvizsgálat és a javasolt intézkedések hogyan illeszkednek a belső minőségbiztosítás európai elveihez. Célszerű egyértelműen jelezni a hiányzó bizonyítékokat és a még fejlesztendő területeket is. Ez a melléklet különösen hasznos későbbi önértékelési, akkreditációs vagy külső minőségbiztosítási folyamatokban. </w:t>
      </w:r>
    </w:p>
    <w:p w14:paraId="0071AD0C" w14:textId="638DCB9F" w:rsidR="00DA0DBC" w:rsidRDefault="00032A4C">
      <w:pPr>
        <w:pStyle w:val="Infobox"/>
      </w:pPr>
      <w:r>
        <w:t>Kapcsolódó ESG: 1.1–1.10.</w:t>
      </w:r>
    </w:p>
    <w:p w14:paraId="24084F19" w14:textId="77777777" w:rsidR="00AF136A" w:rsidRPr="002B0721" w:rsidRDefault="00AF136A" w:rsidP="00AF136A">
      <w:pPr>
        <w:pStyle w:val="Heading2"/>
      </w:pPr>
      <w:r w:rsidRPr="002B0721">
        <w:t>ESG 2015 megfelelési és bizonyíték-mátrix</w:t>
      </w:r>
    </w:p>
    <w:p w14:paraId="135F4BDD" w14:textId="77777777" w:rsidR="00DB61EF" w:rsidRDefault="00032A4C">
      <w:pPr>
        <w:pStyle w:val="Infobox"/>
      </w:pPr>
      <w:r>
        <w:t xml:space="preserve">INFOBOX: Ebben a táblázatban minden releváns ESG-standardhoz röviden hozzá kell rendelni a jelentésben szereplő bizonyítékokat. A kitöltés során ne általánosságokat írjon, hanem konkrét fejezet-, ábra-, táblázat- vagy melléklet-hivatkozást adjon meg. Különösen fontos a hiányok és kockázatok őszinte jelölése, mert ez teszi a mátrixot fejlesztési eszközzé, nem puszta megfelelőségi listává. A tervezett intézkedések oszlop azt mutassa meg, hogyan zárhatók a feltárt rések a következő ciklusban. </w:t>
      </w:r>
    </w:p>
    <w:p w14:paraId="6DCF2C3A" w14:textId="3A9F7BDB" w:rsidR="00DA0DBC" w:rsidRDefault="00032A4C">
      <w:pPr>
        <w:pStyle w:val="Infobox"/>
      </w:pPr>
      <w:r>
        <w:t>Kapcsolódó ESG: 1.1–1.10.</w:t>
      </w:r>
    </w:p>
    <w:p w14:paraId="3E325F76" w14:textId="77777777" w:rsidR="00AF136A" w:rsidRPr="002B0721" w:rsidRDefault="00AF136A"/>
    <w:tbl>
      <w:tblPr>
        <w:tblStyle w:val="GridTable4-Accent3"/>
        <w:tblW w:w="8663" w:type="dxa"/>
        <w:tblLayout w:type="fixed"/>
        <w:tblLook w:val="04A0" w:firstRow="1" w:lastRow="0" w:firstColumn="1" w:lastColumn="0" w:noHBand="0" w:noVBand="1"/>
      </w:tblPr>
      <w:tblGrid>
        <w:gridCol w:w="988"/>
        <w:gridCol w:w="2034"/>
        <w:gridCol w:w="2003"/>
        <w:gridCol w:w="1819"/>
        <w:gridCol w:w="1819"/>
      </w:tblGrid>
      <w:tr w:rsidR="00AF136A" w:rsidRPr="002B0721" w14:paraId="2DAAF72A" w14:textId="77777777" w:rsidTr="00AF1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D85173F" w14:textId="77777777" w:rsidR="00AF136A" w:rsidRPr="002B0721" w:rsidRDefault="00AF136A" w:rsidP="00AF136A">
            <w:pPr>
              <w:jc w:val="center"/>
              <w:rPr>
                <w:sz w:val="18"/>
                <w:szCs w:val="18"/>
              </w:rPr>
            </w:pPr>
            <w:r w:rsidRPr="002B0721">
              <w:rPr>
                <w:sz w:val="18"/>
                <w:szCs w:val="18"/>
              </w:rPr>
              <w:t xml:space="preserve">ESG </w:t>
            </w:r>
            <w:r w:rsidRPr="002B0721">
              <w:rPr>
                <w:sz w:val="18"/>
                <w:szCs w:val="18"/>
              </w:rPr>
              <w:br/>
              <w:t>standard</w:t>
            </w:r>
          </w:p>
        </w:tc>
        <w:tc>
          <w:tcPr>
            <w:tcW w:w="2034" w:type="dxa"/>
          </w:tcPr>
          <w:p w14:paraId="65D99C82" w14:textId="77777777" w:rsidR="00AF136A" w:rsidRPr="002B0721" w:rsidRDefault="00AF136A" w:rsidP="00AF136A">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Elvárás röviden</w:t>
            </w:r>
          </w:p>
        </w:tc>
        <w:tc>
          <w:tcPr>
            <w:tcW w:w="2003" w:type="dxa"/>
          </w:tcPr>
          <w:p w14:paraId="68561226" w14:textId="77777777" w:rsidR="00AF136A" w:rsidRPr="002B0721" w:rsidRDefault="00AF136A" w:rsidP="00AF136A">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Bizonyíték a jelentésben (fejezet/ábra/táblázat)</w:t>
            </w:r>
          </w:p>
        </w:tc>
        <w:tc>
          <w:tcPr>
            <w:tcW w:w="1819" w:type="dxa"/>
          </w:tcPr>
          <w:p w14:paraId="49031D5C" w14:textId="77777777" w:rsidR="00AF136A" w:rsidRPr="002B0721" w:rsidRDefault="00AF136A" w:rsidP="00AF136A">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Hiány / kockázat</w:t>
            </w:r>
          </w:p>
        </w:tc>
        <w:tc>
          <w:tcPr>
            <w:tcW w:w="1819" w:type="dxa"/>
          </w:tcPr>
          <w:p w14:paraId="178A3F4C" w14:textId="77777777" w:rsidR="00AF136A" w:rsidRPr="002B0721" w:rsidRDefault="00AF136A" w:rsidP="00AF136A">
            <w:pPr>
              <w:jc w:val="cente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Tervezett intézkedés</w:t>
            </w:r>
          </w:p>
        </w:tc>
      </w:tr>
      <w:tr w:rsidR="00AF136A" w:rsidRPr="002B0721" w14:paraId="41FC0E5F" w14:textId="77777777" w:rsidTr="00AF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2D8D4B6" w14:textId="77777777" w:rsidR="00AF136A" w:rsidRPr="002B0721" w:rsidRDefault="00AF136A" w:rsidP="00D92C6C">
            <w:pPr>
              <w:rPr>
                <w:sz w:val="18"/>
                <w:szCs w:val="18"/>
              </w:rPr>
            </w:pPr>
            <w:r w:rsidRPr="002B0721">
              <w:rPr>
                <w:sz w:val="18"/>
                <w:szCs w:val="18"/>
              </w:rPr>
              <w:t>1.1</w:t>
            </w:r>
          </w:p>
        </w:tc>
        <w:tc>
          <w:tcPr>
            <w:tcW w:w="2034" w:type="dxa"/>
          </w:tcPr>
          <w:p w14:paraId="2365046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Minőségbiztosítási politika és eljárások</w:t>
            </w:r>
          </w:p>
        </w:tc>
        <w:tc>
          <w:tcPr>
            <w:tcW w:w="2003" w:type="dxa"/>
          </w:tcPr>
          <w:p w14:paraId="7567161E" w14:textId="77777777" w:rsidR="00AF136A" w:rsidRPr="002B0721" w:rsidRDefault="00AF136A" w:rsidP="00AF136A">
            <w:pPr>
              <w:jc w:val="left"/>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0EC8854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819" w:type="dxa"/>
          </w:tcPr>
          <w:p w14:paraId="3DAD720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2B0721" w:rsidRPr="002B0721" w14:paraId="674739BD" w14:textId="77777777" w:rsidTr="00AF136A">
        <w:tc>
          <w:tcPr>
            <w:cnfStyle w:val="001000000000" w:firstRow="0" w:lastRow="0" w:firstColumn="1" w:lastColumn="0" w:oddVBand="0" w:evenVBand="0" w:oddHBand="0" w:evenHBand="0" w:firstRowFirstColumn="0" w:firstRowLastColumn="0" w:lastRowFirstColumn="0" w:lastRowLastColumn="0"/>
            <w:tcW w:w="988" w:type="dxa"/>
          </w:tcPr>
          <w:p w14:paraId="7DC02335" w14:textId="77777777" w:rsidR="00AF136A" w:rsidRPr="002B0721" w:rsidRDefault="00AF136A" w:rsidP="00AF136A">
            <w:pPr>
              <w:rPr>
                <w:sz w:val="18"/>
                <w:szCs w:val="18"/>
              </w:rPr>
            </w:pPr>
            <w:r w:rsidRPr="002B0721">
              <w:rPr>
                <w:sz w:val="18"/>
                <w:szCs w:val="18"/>
              </w:rPr>
              <w:t>1.2</w:t>
            </w:r>
          </w:p>
        </w:tc>
        <w:tc>
          <w:tcPr>
            <w:tcW w:w="2034" w:type="dxa"/>
          </w:tcPr>
          <w:p w14:paraId="4F139A25"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Programok tervezése és jóváhagyása</w:t>
            </w:r>
          </w:p>
        </w:tc>
        <w:tc>
          <w:tcPr>
            <w:tcW w:w="2003" w:type="dxa"/>
          </w:tcPr>
          <w:p w14:paraId="3E0D5AE1" w14:textId="77777777" w:rsidR="00AF136A" w:rsidRPr="002B0721" w:rsidRDefault="00AF136A" w:rsidP="00AF136A">
            <w:pPr>
              <w:jc w:val="left"/>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2164309F"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819" w:type="dxa"/>
          </w:tcPr>
          <w:p w14:paraId="1BAA1729"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2B0721" w:rsidRPr="002B0721" w14:paraId="5DC309A6" w14:textId="77777777" w:rsidTr="00AF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27EEA31" w14:textId="77777777" w:rsidR="00AF136A" w:rsidRPr="002B0721" w:rsidRDefault="00AF136A" w:rsidP="00AF136A">
            <w:pPr>
              <w:rPr>
                <w:sz w:val="18"/>
                <w:szCs w:val="18"/>
              </w:rPr>
            </w:pPr>
            <w:r w:rsidRPr="002B0721">
              <w:rPr>
                <w:sz w:val="18"/>
                <w:szCs w:val="18"/>
              </w:rPr>
              <w:t>1.3</w:t>
            </w:r>
          </w:p>
        </w:tc>
        <w:tc>
          <w:tcPr>
            <w:tcW w:w="2034" w:type="dxa"/>
          </w:tcPr>
          <w:p w14:paraId="49EB2E2B"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Hallgatóközpontú tanulás, tanítás és értékelés</w:t>
            </w:r>
          </w:p>
        </w:tc>
        <w:tc>
          <w:tcPr>
            <w:tcW w:w="2003" w:type="dxa"/>
          </w:tcPr>
          <w:p w14:paraId="5E5715B0" w14:textId="77777777" w:rsidR="00AF136A" w:rsidRPr="002B0721" w:rsidRDefault="00AF136A" w:rsidP="00AF136A">
            <w:pPr>
              <w:jc w:val="left"/>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4DE7FA9F"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819" w:type="dxa"/>
          </w:tcPr>
          <w:p w14:paraId="57867F00"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2B0721" w:rsidRPr="002B0721" w14:paraId="27DBC3A8" w14:textId="77777777" w:rsidTr="00AF136A">
        <w:tc>
          <w:tcPr>
            <w:cnfStyle w:val="001000000000" w:firstRow="0" w:lastRow="0" w:firstColumn="1" w:lastColumn="0" w:oddVBand="0" w:evenVBand="0" w:oddHBand="0" w:evenHBand="0" w:firstRowFirstColumn="0" w:firstRowLastColumn="0" w:lastRowFirstColumn="0" w:lastRowLastColumn="0"/>
            <w:tcW w:w="988" w:type="dxa"/>
          </w:tcPr>
          <w:p w14:paraId="1E561FAA" w14:textId="77777777" w:rsidR="00AF136A" w:rsidRPr="002B0721" w:rsidRDefault="00AF136A" w:rsidP="00AF136A">
            <w:pPr>
              <w:rPr>
                <w:sz w:val="18"/>
                <w:szCs w:val="18"/>
              </w:rPr>
            </w:pPr>
            <w:r w:rsidRPr="002B0721">
              <w:rPr>
                <w:sz w:val="18"/>
                <w:szCs w:val="18"/>
              </w:rPr>
              <w:t>1.4</w:t>
            </w:r>
          </w:p>
        </w:tc>
        <w:tc>
          <w:tcPr>
            <w:tcW w:w="2034" w:type="dxa"/>
          </w:tcPr>
          <w:p w14:paraId="690987FC"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Felvétel, előrehaladás, elismerés és oklevél</w:t>
            </w:r>
          </w:p>
        </w:tc>
        <w:tc>
          <w:tcPr>
            <w:tcW w:w="2003" w:type="dxa"/>
          </w:tcPr>
          <w:p w14:paraId="2DB2B679" w14:textId="77777777" w:rsidR="00AF136A" w:rsidRPr="002B0721" w:rsidRDefault="00AF136A" w:rsidP="00AF136A">
            <w:pPr>
              <w:jc w:val="left"/>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3C0F1753"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819" w:type="dxa"/>
          </w:tcPr>
          <w:p w14:paraId="29FE9D0D"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2B0721" w:rsidRPr="002B0721" w14:paraId="79407E64" w14:textId="77777777" w:rsidTr="00AF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4EDC5E5" w14:textId="77777777" w:rsidR="00AF136A" w:rsidRPr="002B0721" w:rsidRDefault="00AF136A" w:rsidP="00AF136A">
            <w:pPr>
              <w:rPr>
                <w:sz w:val="18"/>
                <w:szCs w:val="18"/>
              </w:rPr>
            </w:pPr>
            <w:r w:rsidRPr="002B0721">
              <w:rPr>
                <w:sz w:val="18"/>
                <w:szCs w:val="18"/>
              </w:rPr>
              <w:t>1.5</w:t>
            </w:r>
          </w:p>
        </w:tc>
        <w:tc>
          <w:tcPr>
            <w:tcW w:w="2034" w:type="dxa"/>
          </w:tcPr>
          <w:p w14:paraId="20CDAF12"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Oktatói állomány</w:t>
            </w:r>
          </w:p>
        </w:tc>
        <w:tc>
          <w:tcPr>
            <w:tcW w:w="2003" w:type="dxa"/>
          </w:tcPr>
          <w:p w14:paraId="0DC206F4" w14:textId="77777777" w:rsidR="00AF136A" w:rsidRPr="002B0721" w:rsidRDefault="00AF136A" w:rsidP="00AF136A">
            <w:pPr>
              <w:jc w:val="left"/>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67918811"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819" w:type="dxa"/>
          </w:tcPr>
          <w:p w14:paraId="551DF4AD"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2B0721" w:rsidRPr="002B0721" w14:paraId="002EB394" w14:textId="77777777" w:rsidTr="00AF136A">
        <w:tc>
          <w:tcPr>
            <w:cnfStyle w:val="001000000000" w:firstRow="0" w:lastRow="0" w:firstColumn="1" w:lastColumn="0" w:oddVBand="0" w:evenVBand="0" w:oddHBand="0" w:evenHBand="0" w:firstRowFirstColumn="0" w:firstRowLastColumn="0" w:lastRowFirstColumn="0" w:lastRowLastColumn="0"/>
            <w:tcW w:w="988" w:type="dxa"/>
          </w:tcPr>
          <w:p w14:paraId="3A3DB199" w14:textId="77777777" w:rsidR="00AF136A" w:rsidRPr="002B0721" w:rsidRDefault="00AF136A" w:rsidP="00AF136A">
            <w:pPr>
              <w:rPr>
                <w:sz w:val="18"/>
                <w:szCs w:val="18"/>
              </w:rPr>
            </w:pPr>
            <w:r w:rsidRPr="002B0721">
              <w:rPr>
                <w:sz w:val="18"/>
                <w:szCs w:val="18"/>
              </w:rPr>
              <w:t>1.6</w:t>
            </w:r>
          </w:p>
        </w:tc>
        <w:tc>
          <w:tcPr>
            <w:tcW w:w="2034" w:type="dxa"/>
          </w:tcPr>
          <w:p w14:paraId="6BD30A61"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Tanulási erőforrások és hallgatói támogatás</w:t>
            </w:r>
          </w:p>
        </w:tc>
        <w:tc>
          <w:tcPr>
            <w:tcW w:w="2003" w:type="dxa"/>
          </w:tcPr>
          <w:p w14:paraId="1A42163D" w14:textId="77777777" w:rsidR="00AF136A" w:rsidRPr="002B0721" w:rsidRDefault="00AF136A" w:rsidP="00AF136A">
            <w:pPr>
              <w:jc w:val="left"/>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745BE452"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819" w:type="dxa"/>
          </w:tcPr>
          <w:p w14:paraId="0453068B"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2B0721" w:rsidRPr="002B0721" w14:paraId="2BFCC5F9" w14:textId="77777777" w:rsidTr="00AF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AABE745" w14:textId="77777777" w:rsidR="00AF136A" w:rsidRPr="002B0721" w:rsidRDefault="00AF136A" w:rsidP="00AF136A">
            <w:pPr>
              <w:rPr>
                <w:sz w:val="18"/>
                <w:szCs w:val="18"/>
              </w:rPr>
            </w:pPr>
            <w:r w:rsidRPr="002B0721">
              <w:rPr>
                <w:sz w:val="18"/>
                <w:szCs w:val="18"/>
              </w:rPr>
              <w:t>1.7</w:t>
            </w:r>
          </w:p>
        </w:tc>
        <w:tc>
          <w:tcPr>
            <w:tcW w:w="2034" w:type="dxa"/>
          </w:tcPr>
          <w:p w14:paraId="4FD405E1"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Információmenedzsment</w:t>
            </w:r>
          </w:p>
        </w:tc>
        <w:tc>
          <w:tcPr>
            <w:tcW w:w="2003" w:type="dxa"/>
          </w:tcPr>
          <w:p w14:paraId="13F25958" w14:textId="77777777" w:rsidR="00AF136A" w:rsidRPr="002B0721" w:rsidRDefault="00AF136A" w:rsidP="00AF136A">
            <w:pPr>
              <w:jc w:val="left"/>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535A5165"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819" w:type="dxa"/>
          </w:tcPr>
          <w:p w14:paraId="4AF17405"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2B0721" w:rsidRPr="002B0721" w14:paraId="17E15ECD" w14:textId="77777777" w:rsidTr="00AF136A">
        <w:tc>
          <w:tcPr>
            <w:cnfStyle w:val="001000000000" w:firstRow="0" w:lastRow="0" w:firstColumn="1" w:lastColumn="0" w:oddVBand="0" w:evenVBand="0" w:oddHBand="0" w:evenHBand="0" w:firstRowFirstColumn="0" w:firstRowLastColumn="0" w:lastRowFirstColumn="0" w:lastRowLastColumn="0"/>
            <w:tcW w:w="988" w:type="dxa"/>
          </w:tcPr>
          <w:p w14:paraId="1B43B95A" w14:textId="77777777" w:rsidR="00AF136A" w:rsidRPr="002B0721" w:rsidRDefault="00AF136A" w:rsidP="00AF136A">
            <w:pPr>
              <w:rPr>
                <w:sz w:val="18"/>
                <w:szCs w:val="18"/>
              </w:rPr>
            </w:pPr>
            <w:r w:rsidRPr="002B0721">
              <w:rPr>
                <w:sz w:val="18"/>
                <w:szCs w:val="18"/>
              </w:rPr>
              <w:t>1.8</w:t>
            </w:r>
          </w:p>
        </w:tc>
        <w:tc>
          <w:tcPr>
            <w:tcW w:w="2034" w:type="dxa"/>
          </w:tcPr>
          <w:p w14:paraId="102A67A6"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Nyilvános információk</w:t>
            </w:r>
          </w:p>
        </w:tc>
        <w:tc>
          <w:tcPr>
            <w:tcW w:w="2003" w:type="dxa"/>
          </w:tcPr>
          <w:p w14:paraId="45D6F663" w14:textId="77777777" w:rsidR="00AF136A" w:rsidRPr="002B0721" w:rsidRDefault="00AF136A" w:rsidP="00AF136A">
            <w:pPr>
              <w:jc w:val="left"/>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62B71ED0"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819" w:type="dxa"/>
          </w:tcPr>
          <w:p w14:paraId="2625EC27"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2B0721" w:rsidRPr="002B0721" w14:paraId="4FCE0716" w14:textId="77777777" w:rsidTr="00AF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BFE8EA7" w14:textId="77777777" w:rsidR="00AF136A" w:rsidRPr="002B0721" w:rsidRDefault="00AF136A" w:rsidP="00AF136A">
            <w:pPr>
              <w:rPr>
                <w:sz w:val="18"/>
                <w:szCs w:val="18"/>
              </w:rPr>
            </w:pPr>
            <w:r w:rsidRPr="002B0721">
              <w:rPr>
                <w:sz w:val="18"/>
                <w:szCs w:val="18"/>
              </w:rPr>
              <w:t>1.9</w:t>
            </w:r>
          </w:p>
        </w:tc>
        <w:tc>
          <w:tcPr>
            <w:tcW w:w="2034" w:type="dxa"/>
          </w:tcPr>
          <w:p w14:paraId="2FB36EA4"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Folyamatos monitoring és periodikus felülvizsgálat</w:t>
            </w:r>
          </w:p>
        </w:tc>
        <w:tc>
          <w:tcPr>
            <w:tcW w:w="2003" w:type="dxa"/>
          </w:tcPr>
          <w:p w14:paraId="11A8587B" w14:textId="77777777" w:rsidR="00AF136A" w:rsidRPr="002B0721" w:rsidRDefault="00AF136A" w:rsidP="00AF136A">
            <w:pPr>
              <w:jc w:val="left"/>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0257246E"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819" w:type="dxa"/>
          </w:tcPr>
          <w:p w14:paraId="641D36D9" w14:textId="77777777" w:rsidR="00AF136A" w:rsidRPr="002B0721" w:rsidRDefault="00AF136A" w:rsidP="00AF136A">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2B0721" w:rsidRPr="002B0721" w14:paraId="507F06CA" w14:textId="77777777" w:rsidTr="00AF136A">
        <w:tc>
          <w:tcPr>
            <w:cnfStyle w:val="001000000000" w:firstRow="0" w:lastRow="0" w:firstColumn="1" w:lastColumn="0" w:oddVBand="0" w:evenVBand="0" w:oddHBand="0" w:evenHBand="0" w:firstRowFirstColumn="0" w:firstRowLastColumn="0" w:lastRowFirstColumn="0" w:lastRowLastColumn="0"/>
            <w:tcW w:w="988" w:type="dxa"/>
          </w:tcPr>
          <w:p w14:paraId="2DF2C92F" w14:textId="77777777" w:rsidR="00AF136A" w:rsidRPr="002B0721" w:rsidRDefault="00AF136A" w:rsidP="00AF136A">
            <w:pPr>
              <w:rPr>
                <w:sz w:val="18"/>
                <w:szCs w:val="18"/>
              </w:rPr>
            </w:pPr>
            <w:r w:rsidRPr="002B0721">
              <w:rPr>
                <w:sz w:val="18"/>
                <w:szCs w:val="18"/>
              </w:rPr>
              <w:t>1.10</w:t>
            </w:r>
          </w:p>
        </w:tc>
        <w:tc>
          <w:tcPr>
            <w:tcW w:w="2034" w:type="dxa"/>
          </w:tcPr>
          <w:p w14:paraId="561CE305"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Ciklikus külső minőségbiztosítás</w:t>
            </w:r>
          </w:p>
        </w:tc>
        <w:tc>
          <w:tcPr>
            <w:tcW w:w="2003" w:type="dxa"/>
          </w:tcPr>
          <w:p w14:paraId="2D3E1394" w14:textId="77777777" w:rsidR="00AF136A" w:rsidRPr="002B0721" w:rsidRDefault="00AF136A" w:rsidP="00AF136A">
            <w:pPr>
              <w:jc w:val="left"/>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2. fejezet; 4.1. alfejezet; 5. ábra&gt;&gt;</w:t>
            </w:r>
          </w:p>
        </w:tc>
        <w:tc>
          <w:tcPr>
            <w:tcW w:w="1819" w:type="dxa"/>
          </w:tcPr>
          <w:p w14:paraId="4181E9A9"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819" w:type="dxa"/>
          </w:tcPr>
          <w:p w14:paraId="2FEDCA84" w14:textId="77777777" w:rsidR="00AF136A" w:rsidRPr="002B0721" w:rsidRDefault="00AF136A" w:rsidP="00AF136A">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34344F3F" w14:textId="77777777" w:rsidR="00AF136A" w:rsidRPr="002B0721" w:rsidRDefault="00AF136A" w:rsidP="00FA0472"/>
    <w:p w14:paraId="55D0F1E3" w14:textId="77777777" w:rsidR="00AF136A" w:rsidRPr="002B0721" w:rsidRDefault="00AF136A">
      <w:pPr>
        <w:spacing w:after="160" w:line="259" w:lineRule="auto"/>
        <w:jc w:val="left"/>
      </w:pPr>
      <w:r w:rsidRPr="002B0721">
        <w:br w:type="page"/>
      </w:r>
    </w:p>
    <w:p w14:paraId="4BDC6EAD" w14:textId="77777777" w:rsidR="00AF136A" w:rsidRPr="002B0721" w:rsidRDefault="00AF136A" w:rsidP="00AF136A">
      <w:pPr>
        <w:pStyle w:val="Heading1"/>
      </w:pPr>
      <w:r w:rsidRPr="002B0721">
        <w:t>Döntési javaslatok és priorizálás</w:t>
      </w:r>
    </w:p>
    <w:p w14:paraId="502D962C" w14:textId="77777777" w:rsidR="00DB61EF" w:rsidRDefault="00032A4C">
      <w:pPr>
        <w:pStyle w:val="Infobox"/>
      </w:pPr>
      <w:r>
        <w:t xml:space="preserve">INFOBOX: Ez a fejezet a teljes jelentésből következő fejlesztési javaslatokat egyetlen döntési portfólióvá rendezi. A cél az, hogy a különböző pillérekből származó intézkedések ne elszigetelt listaként, hanem összehangolt programként jelenjenek meg. Mutassa be, mely javaslatok tekinthetők </w:t>
      </w:r>
      <w:proofErr w:type="spellStart"/>
      <w:r>
        <w:t>quick</w:t>
      </w:r>
      <w:proofErr w:type="spellEnd"/>
      <w:r>
        <w:t xml:space="preserve"> </w:t>
      </w:r>
      <w:proofErr w:type="spellStart"/>
      <w:r>
        <w:t>winnek</w:t>
      </w:r>
      <w:proofErr w:type="spellEnd"/>
      <w:r>
        <w:t xml:space="preserve">, melyek igényelnek strukturális beavatkozást, és melyek feltételeznek további adatgyűjtést vagy egyeztetést. A priorizálás során az elérhető hatást, az erőforrásigényt, az időtávot és a kockázatot együtt kell mérlegelni. </w:t>
      </w:r>
    </w:p>
    <w:p w14:paraId="628EBB30" w14:textId="49EE25D1" w:rsidR="00DA0DBC" w:rsidRDefault="00032A4C">
      <w:pPr>
        <w:pStyle w:val="Infobox"/>
      </w:pPr>
      <w:r>
        <w:t>Kapcsolódó ESG: 1.1 Minőségbiztosítási politika, 1.7 Információkezelés, 1.9 A képzési programok folyamatos figyelemmel kísérése és rendszeres értékelése.</w:t>
      </w:r>
    </w:p>
    <w:p w14:paraId="497A26FB" w14:textId="77777777" w:rsidR="00AF136A" w:rsidRPr="002B0721" w:rsidRDefault="00AF136A" w:rsidP="002B0721">
      <w:pPr>
        <w:pStyle w:val="Heading2"/>
      </w:pPr>
      <w:r w:rsidRPr="002B0721">
        <w:t>Prioritási portfólió (javasolt ábra: hatás x erőforrás)</w:t>
      </w:r>
    </w:p>
    <w:p w14:paraId="70AA309D" w14:textId="77777777" w:rsidR="00366C1D" w:rsidRDefault="00032A4C">
      <w:pPr>
        <w:pStyle w:val="Infobox"/>
      </w:pPr>
      <w:r>
        <w:t xml:space="preserve">INFOBOX: Ebben az alfejezetben röviden ismertesse, milyen logika szerint történt a javaslatok rangsorolása. A hatás × erőforrás típusú portfólióábra akkor hasznos, ha világosan megmutatja a gyorsan kivitelezhető magas hozamú lépéseket és a nagyobb szervezeti beruházást igénylő reformokat. Érdemes jelezni a függőségeket, az egymásra épülő intézkedéseket és azt is, mely javaslatok igényelnek előfeltételként szabályozási vagy erőforrásoldali döntést. A fejezet célja a végrehajtási sorrend és a reális ütemezés támogatása. </w:t>
      </w:r>
    </w:p>
    <w:p w14:paraId="6E365701" w14:textId="676D8C3F" w:rsidR="00DA0DBC" w:rsidRDefault="00032A4C">
      <w:pPr>
        <w:pStyle w:val="Infobox"/>
      </w:pPr>
      <w:r>
        <w:t>Kapcsolódó ESG: 1.1 Minőségbiztosítási politika és 1.9 A képzési programok folyamatos figyelemmel kísérése és rendszeres értékelése.</w:t>
      </w:r>
    </w:p>
    <w:p w14:paraId="35B4A9D0" w14:textId="77777777" w:rsidR="002B0721" w:rsidRPr="002B0721" w:rsidRDefault="00AF136A" w:rsidP="002B0721">
      <w:pPr>
        <w:pStyle w:val="Heading3"/>
      </w:pPr>
      <w:r w:rsidRPr="002B0721">
        <w:t>Prioritási elv</w:t>
      </w:r>
      <w:r w:rsidR="002B0721" w:rsidRPr="002B0721">
        <w:t>ek</w:t>
      </w:r>
      <w:r w:rsidRPr="002B0721">
        <w:t xml:space="preserve"> és értékelési szempontok</w:t>
      </w:r>
    </w:p>
    <w:p w14:paraId="6EE3727E" w14:textId="77777777" w:rsidR="00AF136A" w:rsidRPr="002B0721" w:rsidRDefault="00AF136A" w:rsidP="002B0721">
      <w:r w:rsidRPr="002B0721">
        <w:t>&lt;&lt;KITÖLTENDŐ&gt;&gt;</w:t>
      </w:r>
    </w:p>
    <w:p w14:paraId="26AC3520" w14:textId="77777777" w:rsidR="002B0721" w:rsidRPr="002B0721" w:rsidRDefault="002B0721" w:rsidP="002B0721"/>
    <w:p w14:paraId="377ECF16" w14:textId="77777777" w:rsidR="00AF136A" w:rsidRPr="002B0721" w:rsidRDefault="002B0721" w:rsidP="002B0721">
      <w:pPr>
        <w:pStyle w:val="Heading3"/>
      </w:pPr>
      <w:r w:rsidRPr="002B0721">
        <w:t>Fejlesztési</w:t>
      </w:r>
      <w:r w:rsidR="00AF136A" w:rsidRPr="002B0721">
        <w:t xml:space="preserve"> javaslatlista</w:t>
      </w:r>
    </w:p>
    <w:tbl>
      <w:tblPr>
        <w:tblStyle w:val="GridTable4-Accent1"/>
        <w:tblW w:w="0" w:type="auto"/>
        <w:tblLook w:val="04A0" w:firstRow="1" w:lastRow="0" w:firstColumn="1" w:lastColumn="0" w:noHBand="0" w:noVBand="1"/>
      </w:tblPr>
      <w:tblGrid>
        <w:gridCol w:w="1419"/>
        <w:gridCol w:w="936"/>
        <w:gridCol w:w="1812"/>
        <w:gridCol w:w="1945"/>
        <w:gridCol w:w="859"/>
        <w:gridCol w:w="1371"/>
        <w:gridCol w:w="720"/>
      </w:tblGrid>
      <w:tr w:rsidR="00AF136A" w:rsidRPr="002B0721" w14:paraId="3E750C58" w14:textId="77777777" w:rsidTr="002B07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92" w:type="dxa"/>
          </w:tcPr>
          <w:p w14:paraId="16DB5D41" w14:textId="77777777" w:rsidR="00AF136A" w:rsidRPr="002B0721" w:rsidRDefault="00AF136A" w:rsidP="00D92C6C">
            <w:pPr>
              <w:rPr>
                <w:sz w:val="18"/>
                <w:szCs w:val="18"/>
              </w:rPr>
            </w:pPr>
            <w:r w:rsidRPr="002B0721">
              <w:rPr>
                <w:sz w:val="18"/>
                <w:szCs w:val="18"/>
              </w:rPr>
              <w:t>Javaslat</w:t>
            </w:r>
          </w:p>
        </w:tc>
        <w:tc>
          <w:tcPr>
            <w:tcW w:w="1392" w:type="dxa"/>
          </w:tcPr>
          <w:p w14:paraId="78954D6B"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Kapcsolódó pillér(</w:t>
            </w:r>
            <w:proofErr w:type="spellStart"/>
            <w:r w:rsidRPr="002B0721">
              <w:rPr>
                <w:sz w:val="18"/>
                <w:szCs w:val="18"/>
              </w:rPr>
              <w:t>ek</w:t>
            </w:r>
            <w:proofErr w:type="spellEnd"/>
            <w:r w:rsidRPr="002B0721">
              <w:rPr>
                <w:sz w:val="18"/>
                <w:szCs w:val="18"/>
              </w:rPr>
              <w:t>)</w:t>
            </w:r>
          </w:p>
        </w:tc>
        <w:tc>
          <w:tcPr>
            <w:tcW w:w="1392" w:type="dxa"/>
          </w:tcPr>
          <w:p w14:paraId="12C7F4AA"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Várható hatás</w:t>
            </w:r>
          </w:p>
        </w:tc>
        <w:tc>
          <w:tcPr>
            <w:tcW w:w="1392" w:type="dxa"/>
          </w:tcPr>
          <w:p w14:paraId="1C01DBBA"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Erőforrás</w:t>
            </w:r>
          </w:p>
        </w:tc>
        <w:tc>
          <w:tcPr>
            <w:tcW w:w="1392" w:type="dxa"/>
          </w:tcPr>
          <w:p w14:paraId="0E572A5E"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Idő</w:t>
            </w:r>
          </w:p>
        </w:tc>
        <w:tc>
          <w:tcPr>
            <w:tcW w:w="1392" w:type="dxa"/>
          </w:tcPr>
          <w:p w14:paraId="410109AD"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Kockázat</w:t>
            </w:r>
          </w:p>
        </w:tc>
        <w:tc>
          <w:tcPr>
            <w:tcW w:w="1392" w:type="dxa"/>
          </w:tcPr>
          <w:p w14:paraId="5FDD0E28"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Rangsor</w:t>
            </w:r>
          </w:p>
        </w:tc>
      </w:tr>
      <w:tr w:rsidR="00AF136A" w:rsidRPr="002B0721" w14:paraId="532F3581"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Pr>
          <w:p w14:paraId="2B675074" w14:textId="77777777" w:rsidR="00AF136A" w:rsidRPr="002B0721" w:rsidRDefault="00AF136A" w:rsidP="00D92C6C">
            <w:pPr>
              <w:rPr>
                <w:sz w:val="18"/>
                <w:szCs w:val="18"/>
              </w:rPr>
            </w:pPr>
            <w:r w:rsidRPr="002B0721">
              <w:rPr>
                <w:sz w:val="18"/>
                <w:szCs w:val="18"/>
              </w:rPr>
              <w:t>&lt;&lt;KITÖLTENDŐ&gt;&gt;</w:t>
            </w:r>
          </w:p>
        </w:tc>
        <w:tc>
          <w:tcPr>
            <w:tcW w:w="1392" w:type="dxa"/>
          </w:tcPr>
          <w:p w14:paraId="35864CB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1,2,5&gt;&gt;</w:t>
            </w:r>
          </w:p>
        </w:tc>
        <w:tc>
          <w:tcPr>
            <w:tcW w:w="1392" w:type="dxa"/>
          </w:tcPr>
          <w:p w14:paraId="7C3A6C8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6863A6D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5204F19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&lt;&lt;hónap&gt;&gt;</w:t>
            </w:r>
          </w:p>
        </w:tc>
        <w:tc>
          <w:tcPr>
            <w:tcW w:w="1392" w:type="dxa"/>
          </w:tcPr>
          <w:p w14:paraId="22B59D2E"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392" w:type="dxa"/>
          </w:tcPr>
          <w:p w14:paraId="2C5BA75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&lt;&lt;1-10&gt;&gt;</w:t>
            </w:r>
          </w:p>
        </w:tc>
      </w:tr>
      <w:tr w:rsidR="00AF136A" w:rsidRPr="002B0721" w14:paraId="42A8DF77" w14:textId="77777777" w:rsidTr="002B0721">
        <w:tc>
          <w:tcPr>
            <w:cnfStyle w:val="001000000000" w:firstRow="0" w:lastRow="0" w:firstColumn="1" w:lastColumn="0" w:oddVBand="0" w:evenVBand="0" w:oddHBand="0" w:evenHBand="0" w:firstRowFirstColumn="0" w:firstRowLastColumn="0" w:lastRowFirstColumn="0" w:lastRowLastColumn="0"/>
            <w:tcW w:w="1392" w:type="dxa"/>
          </w:tcPr>
          <w:p w14:paraId="55247698" w14:textId="77777777" w:rsidR="00AF136A" w:rsidRPr="002B0721" w:rsidRDefault="00AF136A" w:rsidP="00D92C6C">
            <w:pPr>
              <w:rPr>
                <w:sz w:val="18"/>
                <w:szCs w:val="18"/>
              </w:rPr>
            </w:pPr>
            <w:r w:rsidRPr="002B0721">
              <w:rPr>
                <w:sz w:val="18"/>
                <w:szCs w:val="18"/>
              </w:rPr>
              <w:t>&lt;&lt;KITÖLTENDŐ&gt;&gt;</w:t>
            </w:r>
          </w:p>
        </w:tc>
        <w:tc>
          <w:tcPr>
            <w:tcW w:w="1392" w:type="dxa"/>
          </w:tcPr>
          <w:p w14:paraId="72E69229"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1,2,5&gt;&gt;</w:t>
            </w:r>
          </w:p>
        </w:tc>
        <w:tc>
          <w:tcPr>
            <w:tcW w:w="1392" w:type="dxa"/>
          </w:tcPr>
          <w:p w14:paraId="1282332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27F0DCD9"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5E55327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&lt;&lt;hónap&gt;&gt;</w:t>
            </w:r>
          </w:p>
        </w:tc>
        <w:tc>
          <w:tcPr>
            <w:tcW w:w="1392" w:type="dxa"/>
          </w:tcPr>
          <w:p w14:paraId="057E03E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392" w:type="dxa"/>
          </w:tcPr>
          <w:p w14:paraId="4E698F3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&lt;&lt;1-10&gt;&gt;</w:t>
            </w:r>
          </w:p>
        </w:tc>
      </w:tr>
      <w:tr w:rsidR="00AF136A" w:rsidRPr="002B0721" w14:paraId="69B848BB"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Pr>
          <w:p w14:paraId="6391BCEF" w14:textId="77777777" w:rsidR="00AF136A" w:rsidRPr="002B0721" w:rsidRDefault="00AF136A" w:rsidP="00D92C6C">
            <w:pPr>
              <w:rPr>
                <w:sz w:val="18"/>
                <w:szCs w:val="18"/>
              </w:rPr>
            </w:pPr>
            <w:r w:rsidRPr="002B0721">
              <w:rPr>
                <w:sz w:val="18"/>
                <w:szCs w:val="18"/>
              </w:rPr>
              <w:t>&lt;&lt;KITÖLTENDŐ&gt;&gt;</w:t>
            </w:r>
          </w:p>
        </w:tc>
        <w:tc>
          <w:tcPr>
            <w:tcW w:w="1392" w:type="dxa"/>
          </w:tcPr>
          <w:p w14:paraId="6909FB7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1,2,5&gt;&gt;</w:t>
            </w:r>
          </w:p>
        </w:tc>
        <w:tc>
          <w:tcPr>
            <w:tcW w:w="1392" w:type="dxa"/>
          </w:tcPr>
          <w:p w14:paraId="3F00A12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1633335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4545E9E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&lt;&lt;hónap&gt;&gt;</w:t>
            </w:r>
          </w:p>
        </w:tc>
        <w:tc>
          <w:tcPr>
            <w:tcW w:w="1392" w:type="dxa"/>
          </w:tcPr>
          <w:p w14:paraId="262AED1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392" w:type="dxa"/>
          </w:tcPr>
          <w:p w14:paraId="57D6E266"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&lt;&lt;1-10&gt;&gt;</w:t>
            </w:r>
          </w:p>
        </w:tc>
      </w:tr>
      <w:tr w:rsidR="00AF136A" w:rsidRPr="002B0721" w14:paraId="4E3D1C80" w14:textId="77777777" w:rsidTr="002B0721">
        <w:tc>
          <w:tcPr>
            <w:cnfStyle w:val="001000000000" w:firstRow="0" w:lastRow="0" w:firstColumn="1" w:lastColumn="0" w:oddVBand="0" w:evenVBand="0" w:oddHBand="0" w:evenHBand="0" w:firstRowFirstColumn="0" w:firstRowLastColumn="0" w:lastRowFirstColumn="0" w:lastRowLastColumn="0"/>
            <w:tcW w:w="1392" w:type="dxa"/>
          </w:tcPr>
          <w:p w14:paraId="5DCB1A6E" w14:textId="77777777" w:rsidR="00AF136A" w:rsidRPr="002B0721" w:rsidRDefault="00AF136A" w:rsidP="00D92C6C">
            <w:pPr>
              <w:rPr>
                <w:sz w:val="18"/>
                <w:szCs w:val="18"/>
              </w:rPr>
            </w:pPr>
            <w:r w:rsidRPr="002B0721">
              <w:rPr>
                <w:sz w:val="18"/>
                <w:szCs w:val="18"/>
              </w:rPr>
              <w:t>&lt;&lt;KITÖLTENDŐ&gt;&gt;</w:t>
            </w:r>
          </w:p>
        </w:tc>
        <w:tc>
          <w:tcPr>
            <w:tcW w:w="1392" w:type="dxa"/>
          </w:tcPr>
          <w:p w14:paraId="53C1C86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1,2,5&gt;&gt;</w:t>
            </w:r>
          </w:p>
        </w:tc>
        <w:tc>
          <w:tcPr>
            <w:tcW w:w="1392" w:type="dxa"/>
          </w:tcPr>
          <w:p w14:paraId="4C31D41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2EA314F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4167CC3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&lt;&lt;hónap&gt;&gt;</w:t>
            </w:r>
          </w:p>
        </w:tc>
        <w:tc>
          <w:tcPr>
            <w:tcW w:w="1392" w:type="dxa"/>
          </w:tcPr>
          <w:p w14:paraId="4612A30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392" w:type="dxa"/>
          </w:tcPr>
          <w:p w14:paraId="5404910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&lt;&lt;1-10&gt;&gt;</w:t>
            </w:r>
          </w:p>
        </w:tc>
      </w:tr>
      <w:tr w:rsidR="00AF136A" w:rsidRPr="002B0721" w14:paraId="01A2D716"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Pr>
          <w:p w14:paraId="197B3B9C" w14:textId="77777777" w:rsidR="00AF136A" w:rsidRPr="002B0721" w:rsidRDefault="00AF136A" w:rsidP="00D92C6C">
            <w:pPr>
              <w:rPr>
                <w:sz w:val="18"/>
                <w:szCs w:val="18"/>
              </w:rPr>
            </w:pPr>
            <w:r w:rsidRPr="002B0721">
              <w:rPr>
                <w:sz w:val="18"/>
                <w:szCs w:val="18"/>
              </w:rPr>
              <w:t>&lt;&lt;KITÖLTENDŐ&gt;&gt;</w:t>
            </w:r>
          </w:p>
        </w:tc>
        <w:tc>
          <w:tcPr>
            <w:tcW w:w="1392" w:type="dxa"/>
          </w:tcPr>
          <w:p w14:paraId="27AA92B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1,2,5&gt;&gt;</w:t>
            </w:r>
          </w:p>
        </w:tc>
        <w:tc>
          <w:tcPr>
            <w:tcW w:w="1392" w:type="dxa"/>
          </w:tcPr>
          <w:p w14:paraId="55CBFF93"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0E189CF9"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614AA584"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&lt;&lt;hónap&gt;&gt;</w:t>
            </w:r>
          </w:p>
        </w:tc>
        <w:tc>
          <w:tcPr>
            <w:tcW w:w="1392" w:type="dxa"/>
          </w:tcPr>
          <w:p w14:paraId="07BCA77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392" w:type="dxa"/>
          </w:tcPr>
          <w:p w14:paraId="6B71A3B9"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&lt;&lt;1-10&gt;&gt;</w:t>
            </w:r>
          </w:p>
        </w:tc>
      </w:tr>
      <w:tr w:rsidR="00AF136A" w:rsidRPr="002B0721" w14:paraId="2166B046" w14:textId="77777777" w:rsidTr="002B0721">
        <w:tc>
          <w:tcPr>
            <w:cnfStyle w:val="001000000000" w:firstRow="0" w:lastRow="0" w:firstColumn="1" w:lastColumn="0" w:oddVBand="0" w:evenVBand="0" w:oddHBand="0" w:evenHBand="0" w:firstRowFirstColumn="0" w:firstRowLastColumn="0" w:lastRowFirstColumn="0" w:lastRowLastColumn="0"/>
            <w:tcW w:w="1392" w:type="dxa"/>
          </w:tcPr>
          <w:p w14:paraId="5F22299A" w14:textId="77777777" w:rsidR="00AF136A" w:rsidRPr="002B0721" w:rsidRDefault="00AF136A" w:rsidP="00D92C6C">
            <w:pPr>
              <w:rPr>
                <w:sz w:val="18"/>
                <w:szCs w:val="18"/>
              </w:rPr>
            </w:pPr>
            <w:r w:rsidRPr="002B0721">
              <w:rPr>
                <w:sz w:val="18"/>
                <w:szCs w:val="18"/>
              </w:rPr>
              <w:t>&lt;&lt;KITÖLTENDŐ&gt;&gt;</w:t>
            </w:r>
          </w:p>
        </w:tc>
        <w:tc>
          <w:tcPr>
            <w:tcW w:w="1392" w:type="dxa"/>
          </w:tcPr>
          <w:p w14:paraId="3CA2E52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1,2,5&gt;&gt;</w:t>
            </w:r>
          </w:p>
        </w:tc>
        <w:tc>
          <w:tcPr>
            <w:tcW w:w="1392" w:type="dxa"/>
          </w:tcPr>
          <w:p w14:paraId="503D867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635C951D"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71D16C79"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&lt;&lt;hónap&gt;&gt;</w:t>
            </w:r>
          </w:p>
        </w:tc>
        <w:tc>
          <w:tcPr>
            <w:tcW w:w="1392" w:type="dxa"/>
          </w:tcPr>
          <w:p w14:paraId="0A3B503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392" w:type="dxa"/>
          </w:tcPr>
          <w:p w14:paraId="208174B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&lt;&lt;1-10&gt;&gt;</w:t>
            </w:r>
          </w:p>
        </w:tc>
      </w:tr>
      <w:tr w:rsidR="00AF136A" w:rsidRPr="002B0721" w14:paraId="5A0F7BCC"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Pr>
          <w:p w14:paraId="7B853E93" w14:textId="77777777" w:rsidR="00AF136A" w:rsidRPr="002B0721" w:rsidRDefault="00AF136A" w:rsidP="00D92C6C">
            <w:pPr>
              <w:rPr>
                <w:sz w:val="18"/>
                <w:szCs w:val="18"/>
              </w:rPr>
            </w:pPr>
            <w:r w:rsidRPr="002B0721">
              <w:rPr>
                <w:sz w:val="18"/>
                <w:szCs w:val="18"/>
              </w:rPr>
              <w:t>&lt;&lt;KITÖLTENDŐ&gt;&gt;</w:t>
            </w:r>
          </w:p>
        </w:tc>
        <w:tc>
          <w:tcPr>
            <w:tcW w:w="1392" w:type="dxa"/>
          </w:tcPr>
          <w:p w14:paraId="41BE82BE"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1,2,5&gt;&gt;</w:t>
            </w:r>
          </w:p>
        </w:tc>
        <w:tc>
          <w:tcPr>
            <w:tcW w:w="1392" w:type="dxa"/>
          </w:tcPr>
          <w:p w14:paraId="44AA77E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5AC5F02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769B7E01"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&lt;&lt;hónap&gt;&gt;</w:t>
            </w:r>
          </w:p>
        </w:tc>
        <w:tc>
          <w:tcPr>
            <w:tcW w:w="1392" w:type="dxa"/>
          </w:tcPr>
          <w:p w14:paraId="463DEB24"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392" w:type="dxa"/>
          </w:tcPr>
          <w:p w14:paraId="5072AACE"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&lt;&lt;1-10&gt;&gt;</w:t>
            </w:r>
          </w:p>
        </w:tc>
      </w:tr>
      <w:tr w:rsidR="00AF136A" w:rsidRPr="002B0721" w14:paraId="27DF5A32" w14:textId="77777777" w:rsidTr="002B0721">
        <w:tc>
          <w:tcPr>
            <w:cnfStyle w:val="001000000000" w:firstRow="0" w:lastRow="0" w:firstColumn="1" w:lastColumn="0" w:oddVBand="0" w:evenVBand="0" w:oddHBand="0" w:evenHBand="0" w:firstRowFirstColumn="0" w:firstRowLastColumn="0" w:lastRowFirstColumn="0" w:lastRowLastColumn="0"/>
            <w:tcW w:w="1392" w:type="dxa"/>
          </w:tcPr>
          <w:p w14:paraId="1F0D2E95" w14:textId="77777777" w:rsidR="00AF136A" w:rsidRPr="002B0721" w:rsidRDefault="00AF136A" w:rsidP="00D92C6C">
            <w:pPr>
              <w:rPr>
                <w:sz w:val="18"/>
                <w:szCs w:val="18"/>
              </w:rPr>
            </w:pPr>
            <w:r w:rsidRPr="002B0721">
              <w:rPr>
                <w:sz w:val="18"/>
                <w:szCs w:val="18"/>
              </w:rPr>
              <w:t>&lt;&lt;KITÖLTENDŐ&gt;&gt;</w:t>
            </w:r>
          </w:p>
        </w:tc>
        <w:tc>
          <w:tcPr>
            <w:tcW w:w="1392" w:type="dxa"/>
          </w:tcPr>
          <w:p w14:paraId="57C0CC11"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1,2,5&gt;&gt;</w:t>
            </w:r>
          </w:p>
        </w:tc>
        <w:tc>
          <w:tcPr>
            <w:tcW w:w="1392" w:type="dxa"/>
          </w:tcPr>
          <w:p w14:paraId="1A617C0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28DFAF79"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285B7EC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&lt;&lt;hónap&gt;&gt;</w:t>
            </w:r>
          </w:p>
        </w:tc>
        <w:tc>
          <w:tcPr>
            <w:tcW w:w="1392" w:type="dxa"/>
          </w:tcPr>
          <w:p w14:paraId="591AD57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392" w:type="dxa"/>
          </w:tcPr>
          <w:p w14:paraId="757BC271"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&lt;&lt;1-10&gt;&gt;</w:t>
            </w:r>
          </w:p>
        </w:tc>
      </w:tr>
      <w:tr w:rsidR="00AF136A" w:rsidRPr="002B0721" w14:paraId="6E22BADC"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dxa"/>
          </w:tcPr>
          <w:p w14:paraId="3E93EE6E" w14:textId="77777777" w:rsidR="00AF136A" w:rsidRPr="002B0721" w:rsidRDefault="00AF136A" w:rsidP="00D92C6C">
            <w:pPr>
              <w:rPr>
                <w:sz w:val="18"/>
                <w:szCs w:val="18"/>
              </w:rPr>
            </w:pPr>
            <w:r w:rsidRPr="002B0721">
              <w:rPr>
                <w:sz w:val="18"/>
                <w:szCs w:val="18"/>
              </w:rPr>
              <w:t>&lt;&lt;KITÖLTENDŐ&gt;&gt;</w:t>
            </w:r>
          </w:p>
        </w:tc>
        <w:tc>
          <w:tcPr>
            <w:tcW w:w="1392" w:type="dxa"/>
          </w:tcPr>
          <w:p w14:paraId="4C2EC9A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&lt;&lt;pl. 1,2,5&gt;&gt;</w:t>
            </w:r>
          </w:p>
        </w:tc>
        <w:tc>
          <w:tcPr>
            <w:tcW w:w="1392" w:type="dxa"/>
          </w:tcPr>
          <w:p w14:paraId="39F9ECE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4401EB0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18A148B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&lt;&lt;hónap&gt;&gt;</w:t>
            </w:r>
          </w:p>
        </w:tc>
        <w:tc>
          <w:tcPr>
            <w:tcW w:w="1392" w:type="dxa"/>
          </w:tcPr>
          <w:p w14:paraId="7E6FC65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392" w:type="dxa"/>
          </w:tcPr>
          <w:p w14:paraId="21199981"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&lt;&lt;1-10&gt;&gt;</w:t>
            </w:r>
          </w:p>
        </w:tc>
      </w:tr>
      <w:tr w:rsidR="00AF136A" w:rsidRPr="002B0721" w14:paraId="21C9CC7C" w14:textId="77777777" w:rsidTr="002B0721">
        <w:tc>
          <w:tcPr>
            <w:cnfStyle w:val="001000000000" w:firstRow="0" w:lastRow="0" w:firstColumn="1" w:lastColumn="0" w:oddVBand="0" w:evenVBand="0" w:oddHBand="0" w:evenHBand="0" w:firstRowFirstColumn="0" w:firstRowLastColumn="0" w:lastRowFirstColumn="0" w:lastRowLastColumn="0"/>
            <w:tcW w:w="1392" w:type="dxa"/>
          </w:tcPr>
          <w:p w14:paraId="45677153" w14:textId="77777777" w:rsidR="00AF136A" w:rsidRPr="002B0721" w:rsidRDefault="00AF136A" w:rsidP="00D92C6C">
            <w:pPr>
              <w:rPr>
                <w:sz w:val="18"/>
                <w:szCs w:val="18"/>
              </w:rPr>
            </w:pPr>
            <w:r w:rsidRPr="002B0721">
              <w:rPr>
                <w:sz w:val="18"/>
                <w:szCs w:val="18"/>
              </w:rPr>
              <w:t>&lt;&lt;KITÖLTENDŐ&gt;&gt;</w:t>
            </w:r>
          </w:p>
        </w:tc>
        <w:tc>
          <w:tcPr>
            <w:tcW w:w="1392" w:type="dxa"/>
          </w:tcPr>
          <w:p w14:paraId="2C734A1B"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&lt;&lt;pl. 1,2,5&gt;&gt;</w:t>
            </w:r>
          </w:p>
        </w:tc>
        <w:tc>
          <w:tcPr>
            <w:tcW w:w="1392" w:type="dxa"/>
          </w:tcPr>
          <w:p w14:paraId="5DEEB63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 + KPI&gt;&gt;</w:t>
            </w:r>
          </w:p>
        </w:tc>
        <w:tc>
          <w:tcPr>
            <w:tcW w:w="1392" w:type="dxa"/>
          </w:tcPr>
          <w:p w14:paraId="29D03B1C"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&lt;&lt;magas/közepes/alacsony&gt;&gt;</w:t>
            </w:r>
          </w:p>
        </w:tc>
        <w:tc>
          <w:tcPr>
            <w:tcW w:w="1392" w:type="dxa"/>
          </w:tcPr>
          <w:p w14:paraId="34787BB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&lt;&lt;hónap&gt;&gt;</w:t>
            </w:r>
          </w:p>
        </w:tc>
        <w:tc>
          <w:tcPr>
            <w:tcW w:w="1392" w:type="dxa"/>
          </w:tcPr>
          <w:p w14:paraId="0D2DD29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392" w:type="dxa"/>
          </w:tcPr>
          <w:p w14:paraId="31F5123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&lt;&lt;1-10&gt;&gt;</w:t>
            </w:r>
          </w:p>
        </w:tc>
      </w:tr>
    </w:tbl>
    <w:p w14:paraId="55B68378" w14:textId="77777777" w:rsidR="00AF136A" w:rsidRPr="002B0721" w:rsidRDefault="00AF136A" w:rsidP="00AF136A"/>
    <w:p w14:paraId="55DE64F0" w14:textId="77777777" w:rsidR="00AF136A" w:rsidRPr="002B0721" w:rsidRDefault="00AF136A" w:rsidP="002B0721">
      <w:pPr>
        <w:pStyle w:val="Heading3"/>
      </w:pPr>
      <w:r w:rsidRPr="002B0721">
        <w:t xml:space="preserve">Kockázati </w:t>
      </w:r>
      <w:r w:rsidR="002B0721" w:rsidRPr="002B0721">
        <w:t>lista</w:t>
      </w:r>
      <w:r w:rsidRPr="002B0721">
        <w:t xml:space="preserve"> </w:t>
      </w:r>
    </w:p>
    <w:tbl>
      <w:tblPr>
        <w:tblStyle w:val="GridTable4-Accent1"/>
        <w:tblW w:w="0" w:type="auto"/>
        <w:tblLook w:val="04A0" w:firstRow="1" w:lastRow="0" w:firstColumn="1" w:lastColumn="0" w:noHBand="0" w:noVBand="1"/>
      </w:tblPr>
      <w:tblGrid>
        <w:gridCol w:w="1364"/>
        <w:gridCol w:w="1320"/>
        <w:gridCol w:w="1869"/>
        <w:gridCol w:w="1869"/>
        <w:gridCol w:w="1320"/>
        <w:gridCol w:w="1320"/>
      </w:tblGrid>
      <w:tr w:rsidR="00AF136A" w:rsidRPr="002B0721" w14:paraId="3505C734" w14:textId="77777777" w:rsidTr="002B07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4" w:type="dxa"/>
          </w:tcPr>
          <w:p w14:paraId="4FD33CEE" w14:textId="77777777" w:rsidR="00AF136A" w:rsidRPr="002B0721" w:rsidRDefault="00AF136A" w:rsidP="00D92C6C">
            <w:pPr>
              <w:rPr>
                <w:sz w:val="18"/>
                <w:szCs w:val="18"/>
              </w:rPr>
            </w:pPr>
            <w:r w:rsidRPr="002B0721">
              <w:rPr>
                <w:sz w:val="18"/>
                <w:szCs w:val="18"/>
              </w:rPr>
              <w:t>Kockázat</w:t>
            </w:r>
          </w:p>
        </w:tc>
        <w:tc>
          <w:tcPr>
            <w:tcW w:w="1624" w:type="dxa"/>
          </w:tcPr>
          <w:p w14:paraId="75D545F5"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Ok</w:t>
            </w:r>
          </w:p>
        </w:tc>
        <w:tc>
          <w:tcPr>
            <w:tcW w:w="1624" w:type="dxa"/>
          </w:tcPr>
          <w:p w14:paraId="11E9BD7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Valószínűség</w:t>
            </w:r>
          </w:p>
        </w:tc>
        <w:tc>
          <w:tcPr>
            <w:tcW w:w="1624" w:type="dxa"/>
          </w:tcPr>
          <w:p w14:paraId="4F175D6B"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sz w:val="18"/>
                <w:szCs w:val="18"/>
              </w:rPr>
              <w:t>Hatás</w:t>
            </w:r>
          </w:p>
        </w:tc>
        <w:tc>
          <w:tcPr>
            <w:tcW w:w="1624" w:type="dxa"/>
          </w:tcPr>
          <w:p w14:paraId="4E67B91F" w14:textId="77777777" w:rsidR="00AF136A" w:rsidRPr="002B0721" w:rsidRDefault="00AF136A" w:rsidP="00D92C6C">
            <w:pPr>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002B0721">
              <w:rPr>
                <w:sz w:val="18"/>
                <w:szCs w:val="18"/>
              </w:rPr>
              <w:t>Mitigáció</w:t>
            </w:r>
            <w:proofErr w:type="spellEnd"/>
          </w:p>
        </w:tc>
        <w:tc>
          <w:tcPr>
            <w:tcW w:w="1624" w:type="dxa"/>
          </w:tcPr>
          <w:p w14:paraId="7C35BFA3" w14:textId="77777777" w:rsidR="00AF136A" w:rsidRPr="002B0721" w:rsidRDefault="002B0721" w:rsidP="00D92C6C">
            <w:pPr>
              <w:cnfStyle w:val="100000000000" w:firstRow="1" w:lastRow="0" w:firstColumn="0" w:lastColumn="0" w:oddVBand="0" w:evenVBand="0" w:oddHBand="0" w:evenHBand="0" w:firstRowFirstColumn="0" w:firstRowLastColumn="0" w:lastRowFirstColumn="0" w:lastRowLastColumn="0"/>
              <w:rPr>
                <w:sz w:val="18"/>
                <w:szCs w:val="18"/>
              </w:rPr>
            </w:pPr>
            <w:r w:rsidRPr="002B0721">
              <w:rPr>
                <w:b w:val="0"/>
                <w:sz w:val="18"/>
                <w:szCs w:val="18"/>
              </w:rPr>
              <w:t>Felelős</w:t>
            </w:r>
          </w:p>
        </w:tc>
      </w:tr>
      <w:tr w:rsidR="00AF136A" w:rsidRPr="002B0721" w14:paraId="46B335A4"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39B7DA73" w14:textId="77777777" w:rsidR="00AF136A" w:rsidRPr="002B0721" w:rsidRDefault="00AF136A" w:rsidP="00D92C6C">
            <w:pPr>
              <w:rPr>
                <w:sz w:val="18"/>
                <w:szCs w:val="18"/>
              </w:rPr>
            </w:pPr>
            <w:r w:rsidRPr="002B0721">
              <w:rPr>
                <w:sz w:val="18"/>
                <w:szCs w:val="18"/>
              </w:rPr>
              <w:t>&lt;&lt;KITÖLTENDŐ&gt;&gt;</w:t>
            </w:r>
          </w:p>
        </w:tc>
        <w:tc>
          <w:tcPr>
            <w:tcW w:w="1624" w:type="dxa"/>
          </w:tcPr>
          <w:p w14:paraId="5D444F55"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20A45CC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5C8708A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4364569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7B59FFB1"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317E6578" w14:textId="77777777" w:rsidTr="002B0721">
        <w:tc>
          <w:tcPr>
            <w:cnfStyle w:val="001000000000" w:firstRow="0" w:lastRow="0" w:firstColumn="1" w:lastColumn="0" w:oddVBand="0" w:evenVBand="0" w:oddHBand="0" w:evenHBand="0" w:firstRowFirstColumn="0" w:firstRowLastColumn="0" w:lastRowFirstColumn="0" w:lastRowLastColumn="0"/>
            <w:tcW w:w="1624" w:type="dxa"/>
          </w:tcPr>
          <w:p w14:paraId="641DB6A8" w14:textId="77777777" w:rsidR="00AF136A" w:rsidRPr="002B0721" w:rsidRDefault="00AF136A" w:rsidP="00D92C6C">
            <w:pPr>
              <w:rPr>
                <w:sz w:val="18"/>
                <w:szCs w:val="18"/>
              </w:rPr>
            </w:pPr>
            <w:r w:rsidRPr="002B0721">
              <w:rPr>
                <w:sz w:val="18"/>
                <w:szCs w:val="18"/>
              </w:rPr>
              <w:t>&lt;&lt;KITÖLTENDŐ&gt;&gt;</w:t>
            </w:r>
          </w:p>
        </w:tc>
        <w:tc>
          <w:tcPr>
            <w:tcW w:w="1624" w:type="dxa"/>
          </w:tcPr>
          <w:p w14:paraId="62F54251"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75FDFDDB"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2C00B1F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31B94BCB"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2C9D8184"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403EE90D"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59076F21" w14:textId="77777777" w:rsidR="00AF136A" w:rsidRPr="002B0721" w:rsidRDefault="00AF136A" w:rsidP="00D92C6C">
            <w:pPr>
              <w:rPr>
                <w:sz w:val="18"/>
                <w:szCs w:val="18"/>
              </w:rPr>
            </w:pPr>
            <w:r w:rsidRPr="002B0721">
              <w:rPr>
                <w:sz w:val="18"/>
                <w:szCs w:val="18"/>
              </w:rPr>
              <w:t>&lt;&lt;KITÖLTENDŐ&gt;&gt;</w:t>
            </w:r>
          </w:p>
        </w:tc>
        <w:tc>
          <w:tcPr>
            <w:tcW w:w="1624" w:type="dxa"/>
          </w:tcPr>
          <w:p w14:paraId="0D3F2A3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4B43690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742124B4"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368A149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6A43A5D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6DFA801B" w14:textId="77777777" w:rsidTr="002B0721">
        <w:tc>
          <w:tcPr>
            <w:cnfStyle w:val="001000000000" w:firstRow="0" w:lastRow="0" w:firstColumn="1" w:lastColumn="0" w:oddVBand="0" w:evenVBand="0" w:oddHBand="0" w:evenHBand="0" w:firstRowFirstColumn="0" w:firstRowLastColumn="0" w:lastRowFirstColumn="0" w:lastRowLastColumn="0"/>
            <w:tcW w:w="1624" w:type="dxa"/>
          </w:tcPr>
          <w:p w14:paraId="487F626D" w14:textId="77777777" w:rsidR="00AF136A" w:rsidRPr="002B0721" w:rsidRDefault="00AF136A" w:rsidP="00D92C6C">
            <w:pPr>
              <w:rPr>
                <w:sz w:val="18"/>
                <w:szCs w:val="18"/>
              </w:rPr>
            </w:pPr>
            <w:r w:rsidRPr="002B0721">
              <w:rPr>
                <w:sz w:val="18"/>
                <w:szCs w:val="18"/>
              </w:rPr>
              <w:t>&lt;&lt;KITÖLTENDŐ&gt;&gt;</w:t>
            </w:r>
          </w:p>
        </w:tc>
        <w:tc>
          <w:tcPr>
            <w:tcW w:w="1624" w:type="dxa"/>
          </w:tcPr>
          <w:p w14:paraId="59EFCD1B"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5F9C790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10DBAA75"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562704B9"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31ED0C38"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5B10C8D5"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3E117BC0" w14:textId="77777777" w:rsidR="00AF136A" w:rsidRPr="002B0721" w:rsidRDefault="00AF136A" w:rsidP="00D92C6C">
            <w:pPr>
              <w:rPr>
                <w:sz w:val="18"/>
                <w:szCs w:val="18"/>
              </w:rPr>
            </w:pPr>
            <w:r w:rsidRPr="002B0721">
              <w:rPr>
                <w:sz w:val="18"/>
                <w:szCs w:val="18"/>
              </w:rPr>
              <w:t>&lt;&lt;KITÖLTENDŐ&gt;&gt;</w:t>
            </w:r>
          </w:p>
        </w:tc>
        <w:tc>
          <w:tcPr>
            <w:tcW w:w="1624" w:type="dxa"/>
          </w:tcPr>
          <w:p w14:paraId="3FC55CFA"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118CAFB3"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5D3D277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0E1EE37C"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5209BFD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70CEDEE3" w14:textId="77777777" w:rsidTr="002B0721">
        <w:tc>
          <w:tcPr>
            <w:cnfStyle w:val="001000000000" w:firstRow="0" w:lastRow="0" w:firstColumn="1" w:lastColumn="0" w:oddVBand="0" w:evenVBand="0" w:oddHBand="0" w:evenHBand="0" w:firstRowFirstColumn="0" w:firstRowLastColumn="0" w:lastRowFirstColumn="0" w:lastRowLastColumn="0"/>
            <w:tcW w:w="1624" w:type="dxa"/>
          </w:tcPr>
          <w:p w14:paraId="2DF582A6" w14:textId="77777777" w:rsidR="00AF136A" w:rsidRPr="002B0721" w:rsidRDefault="00AF136A" w:rsidP="00D92C6C">
            <w:pPr>
              <w:rPr>
                <w:sz w:val="18"/>
                <w:szCs w:val="18"/>
              </w:rPr>
            </w:pPr>
            <w:r w:rsidRPr="002B0721">
              <w:rPr>
                <w:sz w:val="18"/>
                <w:szCs w:val="18"/>
              </w:rPr>
              <w:t>&lt;&lt;KITÖLTENDŐ&gt;&gt;</w:t>
            </w:r>
          </w:p>
        </w:tc>
        <w:tc>
          <w:tcPr>
            <w:tcW w:w="1624" w:type="dxa"/>
          </w:tcPr>
          <w:p w14:paraId="3EA1EA07"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649BF292"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4DB5B7AF"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4F549CF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7C15F11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1710C5BA"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4B499B15" w14:textId="77777777" w:rsidR="00AF136A" w:rsidRPr="002B0721" w:rsidRDefault="00AF136A" w:rsidP="00D92C6C">
            <w:pPr>
              <w:rPr>
                <w:sz w:val="18"/>
                <w:szCs w:val="18"/>
              </w:rPr>
            </w:pPr>
            <w:r w:rsidRPr="002B0721">
              <w:rPr>
                <w:sz w:val="18"/>
                <w:szCs w:val="18"/>
              </w:rPr>
              <w:t>&lt;&lt;KITÖLTENDŐ&gt;&gt;</w:t>
            </w:r>
          </w:p>
        </w:tc>
        <w:tc>
          <w:tcPr>
            <w:tcW w:w="1624" w:type="dxa"/>
          </w:tcPr>
          <w:p w14:paraId="61CF4EC4"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690DA2BF"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4B2968A8"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0EA0C4C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48A90424"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19B03B96" w14:textId="77777777" w:rsidTr="002B0721">
        <w:tc>
          <w:tcPr>
            <w:cnfStyle w:val="001000000000" w:firstRow="0" w:lastRow="0" w:firstColumn="1" w:lastColumn="0" w:oddVBand="0" w:evenVBand="0" w:oddHBand="0" w:evenHBand="0" w:firstRowFirstColumn="0" w:firstRowLastColumn="0" w:lastRowFirstColumn="0" w:lastRowLastColumn="0"/>
            <w:tcW w:w="1624" w:type="dxa"/>
          </w:tcPr>
          <w:p w14:paraId="797E3294" w14:textId="77777777" w:rsidR="00AF136A" w:rsidRPr="002B0721" w:rsidRDefault="00AF136A" w:rsidP="00D92C6C">
            <w:pPr>
              <w:rPr>
                <w:sz w:val="18"/>
                <w:szCs w:val="18"/>
              </w:rPr>
            </w:pPr>
            <w:r w:rsidRPr="002B0721">
              <w:rPr>
                <w:sz w:val="18"/>
                <w:szCs w:val="18"/>
              </w:rPr>
              <w:t>&lt;&lt;KITÖLTENDŐ&gt;&gt;</w:t>
            </w:r>
          </w:p>
        </w:tc>
        <w:tc>
          <w:tcPr>
            <w:tcW w:w="1624" w:type="dxa"/>
          </w:tcPr>
          <w:p w14:paraId="796758F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0CCBF51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07861740"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3E36A5F3"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518941D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r w:rsidR="00AF136A" w:rsidRPr="002B0721" w14:paraId="44916620" w14:textId="77777777" w:rsidTr="002B0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4" w:type="dxa"/>
          </w:tcPr>
          <w:p w14:paraId="18EAB8D8" w14:textId="77777777" w:rsidR="00AF136A" w:rsidRPr="002B0721" w:rsidRDefault="00AF136A" w:rsidP="00D92C6C">
            <w:pPr>
              <w:rPr>
                <w:sz w:val="18"/>
                <w:szCs w:val="18"/>
              </w:rPr>
            </w:pPr>
            <w:r w:rsidRPr="002B0721">
              <w:rPr>
                <w:sz w:val="18"/>
                <w:szCs w:val="18"/>
              </w:rPr>
              <w:t>&lt;&lt;KITÖLTENDŐ&gt;&gt;</w:t>
            </w:r>
          </w:p>
        </w:tc>
        <w:tc>
          <w:tcPr>
            <w:tcW w:w="1624" w:type="dxa"/>
          </w:tcPr>
          <w:p w14:paraId="7FC1F7A7"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4F46C2EB"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68B097F2"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59C2124D"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c>
          <w:tcPr>
            <w:tcW w:w="1624" w:type="dxa"/>
          </w:tcPr>
          <w:p w14:paraId="054509B0" w14:textId="77777777" w:rsidR="00AF136A" w:rsidRPr="002B0721" w:rsidRDefault="00AF136A" w:rsidP="00D92C6C">
            <w:pPr>
              <w:cnfStyle w:val="000000100000" w:firstRow="0" w:lastRow="0" w:firstColumn="0" w:lastColumn="0" w:oddVBand="0" w:evenVBand="0" w:oddHBand="1" w:evenHBand="0" w:firstRowFirstColumn="0" w:firstRowLastColumn="0" w:lastRowFirstColumn="0" w:lastRowLastColumn="0"/>
              <w:rPr>
                <w:sz w:val="18"/>
                <w:szCs w:val="18"/>
              </w:rPr>
            </w:pPr>
            <w:r w:rsidRPr="002B0721">
              <w:rPr>
                <w:sz w:val="18"/>
                <w:szCs w:val="18"/>
              </w:rPr>
              <w:t>&lt;&lt;KITÖLTENDŐ&gt;&gt;</w:t>
            </w:r>
          </w:p>
        </w:tc>
      </w:tr>
      <w:tr w:rsidR="00AF136A" w:rsidRPr="002B0721" w14:paraId="07E694D0" w14:textId="77777777" w:rsidTr="002B0721">
        <w:tc>
          <w:tcPr>
            <w:cnfStyle w:val="001000000000" w:firstRow="0" w:lastRow="0" w:firstColumn="1" w:lastColumn="0" w:oddVBand="0" w:evenVBand="0" w:oddHBand="0" w:evenHBand="0" w:firstRowFirstColumn="0" w:firstRowLastColumn="0" w:lastRowFirstColumn="0" w:lastRowLastColumn="0"/>
            <w:tcW w:w="1624" w:type="dxa"/>
          </w:tcPr>
          <w:p w14:paraId="1907B484" w14:textId="77777777" w:rsidR="00AF136A" w:rsidRPr="002B0721" w:rsidRDefault="00AF136A" w:rsidP="00D92C6C">
            <w:pPr>
              <w:rPr>
                <w:sz w:val="18"/>
                <w:szCs w:val="18"/>
              </w:rPr>
            </w:pPr>
            <w:r w:rsidRPr="002B0721">
              <w:rPr>
                <w:sz w:val="18"/>
                <w:szCs w:val="18"/>
              </w:rPr>
              <w:t>&lt;&lt;KITÖLTENDŐ&gt;&gt;</w:t>
            </w:r>
          </w:p>
        </w:tc>
        <w:tc>
          <w:tcPr>
            <w:tcW w:w="1624" w:type="dxa"/>
          </w:tcPr>
          <w:p w14:paraId="57A4EC17"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6D021AC6"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04CA17C4"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&lt;&lt;alacsony/közepes/magas&gt;&gt;</w:t>
            </w:r>
          </w:p>
        </w:tc>
        <w:tc>
          <w:tcPr>
            <w:tcW w:w="1624" w:type="dxa"/>
          </w:tcPr>
          <w:p w14:paraId="57FE7B2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c>
          <w:tcPr>
            <w:tcW w:w="1624" w:type="dxa"/>
          </w:tcPr>
          <w:p w14:paraId="58C7E69A" w14:textId="77777777" w:rsidR="00AF136A" w:rsidRPr="002B0721" w:rsidRDefault="00AF136A" w:rsidP="00D92C6C">
            <w:pPr>
              <w:cnfStyle w:val="000000000000" w:firstRow="0" w:lastRow="0" w:firstColumn="0" w:lastColumn="0" w:oddVBand="0" w:evenVBand="0" w:oddHBand="0" w:evenHBand="0" w:firstRowFirstColumn="0" w:firstRowLastColumn="0" w:lastRowFirstColumn="0" w:lastRowLastColumn="0"/>
              <w:rPr>
                <w:sz w:val="18"/>
                <w:szCs w:val="18"/>
              </w:rPr>
            </w:pPr>
            <w:r w:rsidRPr="002B0721">
              <w:rPr>
                <w:sz w:val="18"/>
                <w:szCs w:val="18"/>
              </w:rPr>
              <w:t>&lt;&lt;KITÖLTENDŐ&gt;&gt;</w:t>
            </w:r>
          </w:p>
        </w:tc>
      </w:tr>
    </w:tbl>
    <w:p w14:paraId="33E7B47F" w14:textId="77777777" w:rsidR="00FA0472" w:rsidRPr="002B0721" w:rsidRDefault="00FA0472" w:rsidP="00FA0472"/>
    <w:p w14:paraId="5B044A2C" w14:textId="77777777" w:rsidR="002B0721" w:rsidRPr="002B0721" w:rsidRDefault="002B0721">
      <w:pPr>
        <w:spacing w:after="160" w:line="259" w:lineRule="auto"/>
        <w:jc w:val="left"/>
      </w:pPr>
    </w:p>
    <w:p w14:paraId="4E9E5240" w14:textId="77777777" w:rsidR="008B0EAA" w:rsidRDefault="008B0EAA">
      <w:pPr>
        <w:spacing w:after="160" w:line="259" w:lineRule="auto"/>
        <w:jc w:val="left"/>
      </w:pPr>
      <w:r>
        <w:br w:type="page"/>
      </w:r>
    </w:p>
    <w:p w14:paraId="2AC63A0B" w14:textId="77777777" w:rsidR="002B0721" w:rsidRDefault="008B0EAA" w:rsidP="008B0EAA">
      <w:pPr>
        <w:pStyle w:val="Heading1"/>
      </w:pPr>
      <w:r>
        <w:t>Mellékletek</w:t>
      </w:r>
    </w:p>
    <w:p w14:paraId="4D18E0A1" w14:textId="77777777" w:rsidR="00366C1D" w:rsidRDefault="00032A4C">
      <w:pPr>
        <w:pStyle w:val="Infobox"/>
      </w:pPr>
      <w:r>
        <w:t xml:space="preserve">INFOBOX: A mellékletek a főszöveg állításait alátámasztó részletes bizonyítékokat és háttéranyagokat tartalmazzák. Ide kerüljenek a részletes adatsorok, kérdőívek, módszertani leírások, benchmark-kimutatások és minden olyan elemzés, amelyre a főszöveg hivatkozik, de annak olvashatósága érdekében nem ott szerepel teljes terjedelemben. Fontos, hogy a mellékletek ne rendezetlen adattárként működjenek, hanem egyértelműen azonosítható és visszakereshető bizonyítéktárként. A jó mellékleti struktúra erősíti a jelentés transzparenciáját, ellenőrizhetőségét és későbbi újrahasznosíthatóságát. </w:t>
      </w:r>
    </w:p>
    <w:p w14:paraId="11AD74D7" w14:textId="4C17EE2C" w:rsidR="00DA0DBC" w:rsidRDefault="00032A4C">
      <w:pPr>
        <w:pStyle w:val="Infobox"/>
      </w:pPr>
      <w:r>
        <w:t>Kapcsolódó ESG: 1.7 Információkezelés, 1.8 Nyilvános információk, 1.9 A képzési programok folyamatos figyelemmel kísérése és rendszeres értékelése.</w:t>
      </w:r>
    </w:p>
    <w:p w14:paraId="46682277" w14:textId="77777777" w:rsidR="008B0EAA" w:rsidRDefault="008B0EAA" w:rsidP="008B0EAA">
      <w:pPr>
        <w:pStyle w:val="ListParagraph"/>
        <w:numPr>
          <w:ilvl w:val="0"/>
          <w:numId w:val="10"/>
        </w:numPr>
      </w:pPr>
      <w:r>
        <w:t>Létszámtrendek (jelentkezés, beiskolázás, képzési eredményesség, oklevélszerzés)</w:t>
      </w:r>
    </w:p>
    <w:p w14:paraId="23FEF836" w14:textId="77777777" w:rsidR="008B0EAA" w:rsidRDefault="008B0EAA" w:rsidP="008B0EAA">
      <w:pPr>
        <w:pStyle w:val="ListParagraph"/>
        <w:numPr>
          <w:ilvl w:val="0"/>
          <w:numId w:val="10"/>
        </w:numPr>
      </w:pPr>
      <w:r>
        <w:t>Nagymintás (aktív) hallgatói felmérés eredményei és értékelése</w:t>
      </w:r>
    </w:p>
    <w:p w14:paraId="07850650" w14:textId="77777777" w:rsidR="008B0EAA" w:rsidRDefault="008B0EAA" w:rsidP="008B0EAA">
      <w:pPr>
        <w:pStyle w:val="ListParagraph"/>
        <w:numPr>
          <w:ilvl w:val="0"/>
          <w:numId w:val="10"/>
        </w:numPr>
      </w:pPr>
      <w:r>
        <w:t>Nagymintás (</w:t>
      </w:r>
      <w:proofErr w:type="spellStart"/>
      <w:r>
        <w:t>alumni</w:t>
      </w:r>
      <w:proofErr w:type="spellEnd"/>
      <w:r>
        <w:t>) hallgatói felmérés eredményei és értékelése</w:t>
      </w:r>
    </w:p>
    <w:p w14:paraId="154FE49C" w14:textId="77777777" w:rsidR="008B0EAA" w:rsidRDefault="008B0EAA" w:rsidP="008B0EAA">
      <w:pPr>
        <w:pStyle w:val="ListParagraph"/>
        <w:numPr>
          <w:ilvl w:val="0"/>
          <w:numId w:val="10"/>
        </w:numPr>
      </w:pPr>
      <w:r>
        <w:t xml:space="preserve">Hallgató elégedettségmérések: </w:t>
      </w:r>
      <w:proofErr w:type="spellStart"/>
      <w:r>
        <w:t>Eurostudent</w:t>
      </w:r>
      <w:proofErr w:type="spellEnd"/>
      <w:r>
        <w:t xml:space="preserve"> 9, Nézőpont felmérések</w:t>
      </w:r>
    </w:p>
    <w:p w14:paraId="3501FB55" w14:textId="77777777" w:rsidR="008B0EAA" w:rsidRDefault="008B0EAA" w:rsidP="008B0EAA">
      <w:pPr>
        <w:pStyle w:val="ListParagraph"/>
        <w:numPr>
          <w:ilvl w:val="0"/>
          <w:numId w:val="10"/>
        </w:numPr>
      </w:pPr>
      <w:r>
        <w:t xml:space="preserve">Hallgatói elvárások: </w:t>
      </w:r>
      <w:proofErr w:type="spellStart"/>
      <w:r>
        <w:t>Gólyakérdőív</w:t>
      </w:r>
      <w:proofErr w:type="spellEnd"/>
    </w:p>
    <w:p w14:paraId="2813AA5F" w14:textId="77777777" w:rsidR="008B0EAA" w:rsidRDefault="008B0EAA" w:rsidP="008B0EAA">
      <w:pPr>
        <w:pStyle w:val="ListParagraph"/>
        <w:numPr>
          <w:ilvl w:val="0"/>
          <w:numId w:val="10"/>
        </w:numPr>
      </w:pPr>
      <w:r>
        <w:t>Munkaerőpiaci relevancia: DPR elemzés</w:t>
      </w:r>
    </w:p>
    <w:p w14:paraId="157BC4B9" w14:textId="77777777" w:rsidR="008B0EAA" w:rsidRDefault="008B0EAA" w:rsidP="008B0EAA">
      <w:pPr>
        <w:pStyle w:val="ListParagraph"/>
        <w:numPr>
          <w:ilvl w:val="0"/>
          <w:numId w:val="10"/>
        </w:numPr>
      </w:pPr>
      <w:r>
        <w:t>Munkaerőpiaci várakozások (munkaadói vélemények, javaslatok)</w:t>
      </w:r>
    </w:p>
    <w:p w14:paraId="4836A840" w14:textId="77777777" w:rsidR="008B0EAA" w:rsidRDefault="008B0EAA" w:rsidP="008B0EAA">
      <w:pPr>
        <w:pStyle w:val="ListParagraph"/>
        <w:numPr>
          <w:ilvl w:val="0"/>
          <w:numId w:val="10"/>
        </w:numPr>
      </w:pPr>
      <w:r>
        <w:t>OMHV áttekintés</w:t>
      </w:r>
    </w:p>
    <w:p w14:paraId="73E17E2E" w14:textId="77777777" w:rsidR="008B0EAA" w:rsidRPr="002B0721" w:rsidRDefault="008B0EAA" w:rsidP="00FA0472"/>
    <w:sectPr w:rsidR="008B0EAA" w:rsidRPr="002B0721" w:rsidSect="00E85D4E">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DFE8" w14:textId="77777777" w:rsidR="00BD77F9" w:rsidRDefault="00BD77F9" w:rsidP="00E85D4E">
      <w:pPr>
        <w:spacing w:after="0"/>
      </w:pPr>
      <w:r>
        <w:separator/>
      </w:r>
    </w:p>
  </w:endnote>
  <w:endnote w:type="continuationSeparator" w:id="0">
    <w:p w14:paraId="3EEFA522" w14:textId="77777777" w:rsidR="00BD77F9" w:rsidRDefault="00BD77F9" w:rsidP="00E85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AA94" w14:textId="77777777" w:rsidR="00BD77F9" w:rsidRDefault="00BD77F9" w:rsidP="00E85D4E">
      <w:pPr>
        <w:spacing w:after="0"/>
      </w:pPr>
      <w:r>
        <w:separator/>
      </w:r>
    </w:p>
  </w:footnote>
  <w:footnote w:type="continuationSeparator" w:id="0">
    <w:p w14:paraId="7CDCD601" w14:textId="77777777" w:rsidR="00BD77F9" w:rsidRDefault="00BD77F9" w:rsidP="00E85D4E">
      <w:pPr>
        <w:spacing w:after="0"/>
      </w:pPr>
      <w:r>
        <w:continuationSeparator/>
      </w:r>
    </w:p>
  </w:footnote>
  <w:footnote w:id="1">
    <w:p w14:paraId="614B887A" w14:textId="77777777" w:rsidR="00E93DBB" w:rsidRDefault="00E93DBB" w:rsidP="00E93DBB">
      <w:pPr>
        <w:pStyle w:val="FootnoteText"/>
      </w:pPr>
      <w:r>
        <w:rPr>
          <w:rStyle w:val="FootnoteReference"/>
        </w:rPr>
        <w:footnoteRef/>
      </w:r>
      <w:r>
        <w:t xml:space="preserve"> Work-Integrated Learning (munkahelyi/gyakorlati integrált tanulás). Olyan tantervbe épített megoldások gyűjtőfogalma, ahol a hallgató valós munkahelyi vagy professzionális környezetben szerez tapasztalatot, és ez formálisan része a képzésnek (tanulási eredményekkel, értékeléssel, kredittel/elismeréssel). Megjelenési formája: duális, illetve kooperatív képzés.</w:t>
      </w:r>
    </w:p>
  </w:footnote>
  <w:footnote w:id="2">
    <w:p w14:paraId="4DFC4449" w14:textId="7A823DD5" w:rsidR="00593570" w:rsidRDefault="00593570">
      <w:pPr>
        <w:pStyle w:val="FootnoteText"/>
      </w:pPr>
      <w:r>
        <w:rPr>
          <w:rStyle w:val="FootnoteReference"/>
        </w:rPr>
        <w:footnoteRef/>
      </w:r>
      <w:r>
        <w:t xml:space="preserve"> </w:t>
      </w:r>
      <w:hyperlink r:id="rId1" w:history="1">
        <w:r w:rsidRPr="00482DB8">
          <w:rPr>
            <w:rStyle w:val="Hyperlink"/>
          </w:rPr>
          <w:t>https://esco.ec.europa.eu/hu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B421" w14:textId="6E47A4CD" w:rsidR="00E85D4E" w:rsidRDefault="00D854CD" w:rsidP="00D854CD">
    <w:pPr>
      <w:pStyle w:val="Header"/>
      <w:jc w:val="center"/>
    </w:pPr>
    <w:r>
      <w:t>&lt;&lt;SZAKNÉV&gt;&gt; Képzésfelülvizsgálati jelentés – 2026</w:t>
    </w:r>
  </w:p>
  <w:sdt>
    <w:sdtPr>
      <w:id w:val="-763992071"/>
      <w:docPartObj>
        <w:docPartGallery w:val="Page Numbers (Margins)"/>
        <w:docPartUnique/>
      </w:docPartObj>
    </w:sdtPr>
    <w:sdtEndPr/>
    <w:sdtContent>
      <w:p w14:paraId="3411238A" w14:textId="77777777" w:rsidR="00E85D4E" w:rsidRDefault="00E85D4E">
        <w:pPr>
          <w:pStyle w:val="Header"/>
        </w:pPr>
        <w:r>
          <w:rPr>
            <w:noProof/>
          </w:rPr>
          <mc:AlternateContent>
            <mc:Choice Requires="wps">
              <w:drawing>
                <wp:anchor distT="0" distB="0" distL="114300" distR="114300" simplePos="0" relativeHeight="251659264" behindDoc="0" locked="0" layoutInCell="0" allowOverlap="1" wp14:anchorId="6485E3C0" wp14:editId="7F7F1E4E">
                  <wp:simplePos x="0" y="0"/>
                  <wp:positionH relativeFrom="leftMargin">
                    <wp:align>center</wp:align>
                  </wp:positionH>
                  <wp:positionV relativeFrom="margin">
                    <wp:align>top</wp:align>
                  </wp:positionV>
                  <wp:extent cx="581025" cy="409575"/>
                  <wp:effectExtent l="0" t="0" r="0" b="0"/>
                  <wp:wrapNone/>
                  <wp:docPr id="895232061" name="Nyíl: jobbra mutató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88991E0" w14:textId="77777777" w:rsidR="00E85D4E" w:rsidRDefault="00E85D4E">
                              <w:pPr>
                                <w:pStyle w:val="Footer"/>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485E3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Nyíl: jobbra mutató 1" o:spid="_x0000_s1026" type="#_x0000_t13" style="position:absolute;left:0;text-align:left;margin-left:0;margin-top:0;width:45.75pt;height:32.25pt;rotation:180;flip:x;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" o:allowincell="f" adj="13609,5370" fillcolor="#c0504d" stroked="f" strokecolor="#5c83b4">
                  <v:textbox inset=",0,,0">
                    <w:txbxContent>
                      <w:p w14:paraId="388991E0" w14:textId="77777777" w:rsidR="00E85D4E" w:rsidRDefault="00E85D4E">
                        <w:pPr>
                          <w:pStyle w:val="Footer"/>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044F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90A99"/>
    <w:multiLevelType w:val="hybridMultilevel"/>
    <w:tmpl w:val="912A751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185640"/>
    <w:multiLevelType w:val="multilevel"/>
    <w:tmpl w:val="17FA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30F71"/>
    <w:multiLevelType w:val="hybridMultilevel"/>
    <w:tmpl w:val="9FD680D2"/>
    <w:lvl w:ilvl="0" w:tplc="75666D80">
      <w:start w:val="1"/>
      <w:numFmt w:val="bullet"/>
      <w:lvlText w:val="–"/>
      <w:lvlJc w:val="left"/>
      <w:pPr>
        <w:ind w:left="720" w:hanging="360"/>
      </w:pPr>
      <w:rPr>
        <w:rFonts w:ascii="Palatino Linotype" w:hAnsi="Palatino Linotyp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200E9C"/>
    <w:multiLevelType w:val="hybridMultilevel"/>
    <w:tmpl w:val="580299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D064C17"/>
    <w:multiLevelType w:val="hybridMultilevel"/>
    <w:tmpl w:val="5628D08C"/>
    <w:lvl w:ilvl="0" w:tplc="65387BA2">
      <w:numFmt w:val="bullet"/>
      <w:lvlText w:val="•"/>
      <w:lvlJc w:val="left"/>
      <w:pPr>
        <w:ind w:left="720" w:hanging="360"/>
      </w:pPr>
      <w:rPr>
        <w:rFonts w:ascii="Palatino Linotype" w:eastAsiaTheme="minorHAnsi" w:hAnsi="Palatino Linotype"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E823D38"/>
    <w:multiLevelType w:val="multilevel"/>
    <w:tmpl w:val="B1A24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8351C"/>
    <w:multiLevelType w:val="hybridMultilevel"/>
    <w:tmpl w:val="B2E8FF7C"/>
    <w:lvl w:ilvl="0" w:tplc="AED4875E">
      <w:start w:val="1"/>
      <w:numFmt w:val="decimal"/>
      <w:lvlText w:val="%1."/>
      <w:lvlJc w:val="left"/>
      <w:pPr>
        <w:ind w:left="720" w:hanging="360"/>
      </w:pPr>
      <w:rPr>
        <w:rFonts w:hint="default"/>
        <w:i/>
        <w:color w:val="005A9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0F1335F"/>
    <w:multiLevelType w:val="multilevel"/>
    <w:tmpl w:val="FAE8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2753F"/>
    <w:multiLevelType w:val="multilevel"/>
    <w:tmpl w:val="EC06612E"/>
    <w:lvl w:ilvl="0">
      <w:start w:val="1"/>
      <w:numFmt w:val="bullet"/>
      <w:lvlText w:val="–"/>
      <w:lvlJc w:val="left"/>
      <w:pPr>
        <w:tabs>
          <w:tab w:val="num" w:pos="720"/>
        </w:tabs>
        <w:ind w:left="720" w:hanging="360"/>
      </w:pPr>
      <w:rPr>
        <w:rFonts w:ascii="Palatino Linotype" w:hAnsi="Palatino Linotype"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7040B"/>
    <w:multiLevelType w:val="hybridMultilevel"/>
    <w:tmpl w:val="B10C9B5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2235101A"/>
    <w:multiLevelType w:val="hybridMultilevel"/>
    <w:tmpl w:val="4DE84050"/>
    <w:lvl w:ilvl="0" w:tplc="0D6EA38A">
      <w:numFmt w:val="bullet"/>
      <w:lvlText w:val="•"/>
      <w:lvlJc w:val="left"/>
      <w:pPr>
        <w:ind w:left="720" w:hanging="360"/>
      </w:pPr>
      <w:rPr>
        <w:rFonts w:ascii="Palatino Linotype" w:eastAsiaTheme="minorHAnsi" w:hAnsi="Palatino Linotype"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B2729C5"/>
    <w:multiLevelType w:val="hybridMultilevel"/>
    <w:tmpl w:val="5E36AAF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5287D6B"/>
    <w:multiLevelType w:val="hybridMultilevel"/>
    <w:tmpl w:val="829E538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8013152"/>
    <w:multiLevelType w:val="multilevel"/>
    <w:tmpl w:val="9054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87379"/>
    <w:multiLevelType w:val="hybridMultilevel"/>
    <w:tmpl w:val="7E76FA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C635B69"/>
    <w:multiLevelType w:val="multilevel"/>
    <w:tmpl w:val="049A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2191B"/>
    <w:multiLevelType w:val="hybridMultilevel"/>
    <w:tmpl w:val="C4DE0B0C"/>
    <w:lvl w:ilvl="0" w:tplc="415A6DDC">
      <w:start w:val="1"/>
      <w:numFmt w:val="bullet"/>
      <w:lvlText w:val=""/>
      <w:lvlJc w:val="left"/>
      <w:pPr>
        <w:tabs>
          <w:tab w:val="num" w:pos="720"/>
        </w:tabs>
        <w:ind w:left="720" w:hanging="360"/>
      </w:pPr>
      <w:rPr>
        <w:rFonts w:ascii="Wingdings" w:hAnsi="Wingdings" w:hint="default"/>
      </w:rPr>
    </w:lvl>
    <w:lvl w:ilvl="1" w:tplc="13805626" w:tentative="1">
      <w:start w:val="1"/>
      <w:numFmt w:val="bullet"/>
      <w:lvlText w:val=""/>
      <w:lvlJc w:val="left"/>
      <w:pPr>
        <w:tabs>
          <w:tab w:val="num" w:pos="1440"/>
        </w:tabs>
        <w:ind w:left="1440" w:hanging="360"/>
      </w:pPr>
      <w:rPr>
        <w:rFonts w:ascii="Wingdings" w:hAnsi="Wingdings" w:hint="default"/>
      </w:rPr>
    </w:lvl>
    <w:lvl w:ilvl="2" w:tplc="54803CAE" w:tentative="1">
      <w:start w:val="1"/>
      <w:numFmt w:val="bullet"/>
      <w:lvlText w:val=""/>
      <w:lvlJc w:val="left"/>
      <w:pPr>
        <w:tabs>
          <w:tab w:val="num" w:pos="2160"/>
        </w:tabs>
        <w:ind w:left="2160" w:hanging="360"/>
      </w:pPr>
      <w:rPr>
        <w:rFonts w:ascii="Wingdings" w:hAnsi="Wingdings" w:hint="default"/>
      </w:rPr>
    </w:lvl>
    <w:lvl w:ilvl="3" w:tplc="460EF52A" w:tentative="1">
      <w:start w:val="1"/>
      <w:numFmt w:val="bullet"/>
      <w:lvlText w:val=""/>
      <w:lvlJc w:val="left"/>
      <w:pPr>
        <w:tabs>
          <w:tab w:val="num" w:pos="2880"/>
        </w:tabs>
        <w:ind w:left="2880" w:hanging="360"/>
      </w:pPr>
      <w:rPr>
        <w:rFonts w:ascii="Wingdings" w:hAnsi="Wingdings" w:hint="default"/>
      </w:rPr>
    </w:lvl>
    <w:lvl w:ilvl="4" w:tplc="EB5CDABE" w:tentative="1">
      <w:start w:val="1"/>
      <w:numFmt w:val="bullet"/>
      <w:lvlText w:val=""/>
      <w:lvlJc w:val="left"/>
      <w:pPr>
        <w:tabs>
          <w:tab w:val="num" w:pos="3600"/>
        </w:tabs>
        <w:ind w:left="3600" w:hanging="360"/>
      </w:pPr>
      <w:rPr>
        <w:rFonts w:ascii="Wingdings" w:hAnsi="Wingdings" w:hint="default"/>
      </w:rPr>
    </w:lvl>
    <w:lvl w:ilvl="5" w:tplc="62E69D70" w:tentative="1">
      <w:start w:val="1"/>
      <w:numFmt w:val="bullet"/>
      <w:lvlText w:val=""/>
      <w:lvlJc w:val="left"/>
      <w:pPr>
        <w:tabs>
          <w:tab w:val="num" w:pos="4320"/>
        </w:tabs>
        <w:ind w:left="4320" w:hanging="360"/>
      </w:pPr>
      <w:rPr>
        <w:rFonts w:ascii="Wingdings" w:hAnsi="Wingdings" w:hint="default"/>
      </w:rPr>
    </w:lvl>
    <w:lvl w:ilvl="6" w:tplc="7520A724" w:tentative="1">
      <w:start w:val="1"/>
      <w:numFmt w:val="bullet"/>
      <w:lvlText w:val=""/>
      <w:lvlJc w:val="left"/>
      <w:pPr>
        <w:tabs>
          <w:tab w:val="num" w:pos="5040"/>
        </w:tabs>
        <w:ind w:left="5040" w:hanging="360"/>
      </w:pPr>
      <w:rPr>
        <w:rFonts w:ascii="Wingdings" w:hAnsi="Wingdings" w:hint="default"/>
      </w:rPr>
    </w:lvl>
    <w:lvl w:ilvl="7" w:tplc="887A2084" w:tentative="1">
      <w:start w:val="1"/>
      <w:numFmt w:val="bullet"/>
      <w:lvlText w:val=""/>
      <w:lvlJc w:val="left"/>
      <w:pPr>
        <w:tabs>
          <w:tab w:val="num" w:pos="5760"/>
        </w:tabs>
        <w:ind w:left="5760" w:hanging="360"/>
      </w:pPr>
      <w:rPr>
        <w:rFonts w:ascii="Wingdings" w:hAnsi="Wingdings" w:hint="default"/>
      </w:rPr>
    </w:lvl>
    <w:lvl w:ilvl="8" w:tplc="CEBEE6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E043BF"/>
    <w:multiLevelType w:val="hybridMultilevel"/>
    <w:tmpl w:val="7C44D486"/>
    <w:lvl w:ilvl="0" w:tplc="1B060D10">
      <w:numFmt w:val="bullet"/>
      <w:lvlText w:val="•"/>
      <w:lvlJc w:val="left"/>
      <w:pPr>
        <w:ind w:left="720" w:hanging="360"/>
      </w:pPr>
      <w:rPr>
        <w:rFonts w:ascii="Palatino Linotype" w:eastAsiaTheme="minorHAnsi" w:hAnsi="Palatino Linotype"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27F2162"/>
    <w:multiLevelType w:val="hybridMultilevel"/>
    <w:tmpl w:val="A9D027DE"/>
    <w:lvl w:ilvl="0" w:tplc="DF36AF92">
      <w:start w:val="1"/>
      <w:numFmt w:val="upperLetter"/>
      <w:lvlText w:val="%1."/>
      <w:lvlJc w:val="left"/>
      <w:pPr>
        <w:tabs>
          <w:tab w:val="num" w:pos="720"/>
        </w:tabs>
        <w:ind w:left="720" w:hanging="360"/>
      </w:pPr>
    </w:lvl>
    <w:lvl w:ilvl="1" w:tplc="0304244A" w:tentative="1">
      <w:start w:val="1"/>
      <w:numFmt w:val="upperLetter"/>
      <w:lvlText w:val="%2."/>
      <w:lvlJc w:val="left"/>
      <w:pPr>
        <w:tabs>
          <w:tab w:val="num" w:pos="1440"/>
        </w:tabs>
        <w:ind w:left="1440" w:hanging="360"/>
      </w:pPr>
    </w:lvl>
    <w:lvl w:ilvl="2" w:tplc="781AF8CC" w:tentative="1">
      <w:start w:val="1"/>
      <w:numFmt w:val="upperLetter"/>
      <w:lvlText w:val="%3."/>
      <w:lvlJc w:val="left"/>
      <w:pPr>
        <w:tabs>
          <w:tab w:val="num" w:pos="2160"/>
        </w:tabs>
        <w:ind w:left="2160" w:hanging="360"/>
      </w:pPr>
    </w:lvl>
    <w:lvl w:ilvl="3" w:tplc="5D3C5DF6" w:tentative="1">
      <w:start w:val="1"/>
      <w:numFmt w:val="upperLetter"/>
      <w:lvlText w:val="%4."/>
      <w:lvlJc w:val="left"/>
      <w:pPr>
        <w:tabs>
          <w:tab w:val="num" w:pos="2880"/>
        </w:tabs>
        <w:ind w:left="2880" w:hanging="360"/>
      </w:pPr>
    </w:lvl>
    <w:lvl w:ilvl="4" w:tplc="FF224352" w:tentative="1">
      <w:start w:val="1"/>
      <w:numFmt w:val="upperLetter"/>
      <w:lvlText w:val="%5."/>
      <w:lvlJc w:val="left"/>
      <w:pPr>
        <w:tabs>
          <w:tab w:val="num" w:pos="3600"/>
        </w:tabs>
        <w:ind w:left="3600" w:hanging="360"/>
      </w:pPr>
    </w:lvl>
    <w:lvl w:ilvl="5" w:tplc="2F7E5DE4" w:tentative="1">
      <w:start w:val="1"/>
      <w:numFmt w:val="upperLetter"/>
      <w:lvlText w:val="%6."/>
      <w:lvlJc w:val="left"/>
      <w:pPr>
        <w:tabs>
          <w:tab w:val="num" w:pos="4320"/>
        </w:tabs>
        <w:ind w:left="4320" w:hanging="360"/>
      </w:pPr>
    </w:lvl>
    <w:lvl w:ilvl="6" w:tplc="862A6242" w:tentative="1">
      <w:start w:val="1"/>
      <w:numFmt w:val="upperLetter"/>
      <w:lvlText w:val="%7."/>
      <w:lvlJc w:val="left"/>
      <w:pPr>
        <w:tabs>
          <w:tab w:val="num" w:pos="5040"/>
        </w:tabs>
        <w:ind w:left="5040" w:hanging="360"/>
      </w:pPr>
    </w:lvl>
    <w:lvl w:ilvl="7" w:tplc="1CF440EC" w:tentative="1">
      <w:start w:val="1"/>
      <w:numFmt w:val="upperLetter"/>
      <w:lvlText w:val="%8."/>
      <w:lvlJc w:val="left"/>
      <w:pPr>
        <w:tabs>
          <w:tab w:val="num" w:pos="5760"/>
        </w:tabs>
        <w:ind w:left="5760" w:hanging="360"/>
      </w:pPr>
    </w:lvl>
    <w:lvl w:ilvl="8" w:tplc="14821B86" w:tentative="1">
      <w:start w:val="1"/>
      <w:numFmt w:val="upperLetter"/>
      <w:lvlText w:val="%9."/>
      <w:lvlJc w:val="left"/>
      <w:pPr>
        <w:tabs>
          <w:tab w:val="num" w:pos="6480"/>
        </w:tabs>
        <w:ind w:left="6480" w:hanging="360"/>
      </w:pPr>
    </w:lvl>
  </w:abstractNum>
  <w:abstractNum w:abstractNumId="20" w15:restartNumberingAfterBreak="0">
    <w:nsid w:val="52B5228D"/>
    <w:multiLevelType w:val="multilevel"/>
    <w:tmpl w:val="541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7E140A"/>
    <w:multiLevelType w:val="multilevel"/>
    <w:tmpl w:val="F252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86DF7"/>
    <w:multiLevelType w:val="hybridMultilevel"/>
    <w:tmpl w:val="D4F2FBA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BD37A26"/>
    <w:multiLevelType w:val="multilevel"/>
    <w:tmpl w:val="D36E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1529F"/>
    <w:multiLevelType w:val="hybridMultilevel"/>
    <w:tmpl w:val="B39E322A"/>
    <w:lvl w:ilvl="0" w:tplc="F9781410">
      <w:start w:val="1"/>
      <w:numFmt w:val="bullet"/>
      <w:lvlText w:val="•"/>
      <w:lvlJc w:val="left"/>
      <w:pPr>
        <w:tabs>
          <w:tab w:val="num" w:pos="720"/>
        </w:tabs>
        <w:ind w:left="720" w:hanging="360"/>
      </w:pPr>
      <w:rPr>
        <w:rFonts w:ascii="Arial" w:hAnsi="Arial" w:hint="default"/>
      </w:rPr>
    </w:lvl>
    <w:lvl w:ilvl="1" w:tplc="25104472" w:tentative="1">
      <w:start w:val="1"/>
      <w:numFmt w:val="bullet"/>
      <w:lvlText w:val="•"/>
      <w:lvlJc w:val="left"/>
      <w:pPr>
        <w:tabs>
          <w:tab w:val="num" w:pos="1440"/>
        </w:tabs>
        <w:ind w:left="1440" w:hanging="360"/>
      </w:pPr>
      <w:rPr>
        <w:rFonts w:ascii="Arial" w:hAnsi="Arial" w:hint="default"/>
      </w:rPr>
    </w:lvl>
    <w:lvl w:ilvl="2" w:tplc="2BF00E8E" w:tentative="1">
      <w:start w:val="1"/>
      <w:numFmt w:val="bullet"/>
      <w:lvlText w:val="•"/>
      <w:lvlJc w:val="left"/>
      <w:pPr>
        <w:tabs>
          <w:tab w:val="num" w:pos="2160"/>
        </w:tabs>
        <w:ind w:left="2160" w:hanging="360"/>
      </w:pPr>
      <w:rPr>
        <w:rFonts w:ascii="Arial" w:hAnsi="Arial" w:hint="default"/>
      </w:rPr>
    </w:lvl>
    <w:lvl w:ilvl="3" w:tplc="D5DE5704" w:tentative="1">
      <w:start w:val="1"/>
      <w:numFmt w:val="bullet"/>
      <w:lvlText w:val="•"/>
      <w:lvlJc w:val="left"/>
      <w:pPr>
        <w:tabs>
          <w:tab w:val="num" w:pos="2880"/>
        </w:tabs>
        <w:ind w:left="2880" w:hanging="360"/>
      </w:pPr>
      <w:rPr>
        <w:rFonts w:ascii="Arial" w:hAnsi="Arial" w:hint="default"/>
      </w:rPr>
    </w:lvl>
    <w:lvl w:ilvl="4" w:tplc="8BD03F7E" w:tentative="1">
      <w:start w:val="1"/>
      <w:numFmt w:val="bullet"/>
      <w:lvlText w:val="•"/>
      <w:lvlJc w:val="left"/>
      <w:pPr>
        <w:tabs>
          <w:tab w:val="num" w:pos="3600"/>
        </w:tabs>
        <w:ind w:left="3600" w:hanging="360"/>
      </w:pPr>
      <w:rPr>
        <w:rFonts w:ascii="Arial" w:hAnsi="Arial" w:hint="default"/>
      </w:rPr>
    </w:lvl>
    <w:lvl w:ilvl="5" w:tplc="41442BF2" w:tentative="1">
      <w:start w:val="1"/>
      <w:numFmt w:val="bullet"/>
      <w:lvlText w:val="•"/>
      <w:lvlJc w:val="left"/>
      <w:pPr>
        <w:tabs>
          <w:tab w:val="num" w:pos="4320"/>
        </w:tabs>
        <w:ind w:left="4320" w:hanging="360"/>
      </w:pPr>
      <w:rPr>
        <w:rFonts w:ascii="Arial" w:hAnsi="Arial" w:hint="default"/>
      </w:rPr>
    </w:lvl>
    <w:lvl w:ilvl="6" w:tplc="2B966EC0" w:tentative="1">
      <w:start w:val="1"/>
      <w:numFmt w:val="bullet"/>
      <w:lvlText w:val="•"/>
      <w:lvlJc w:val="left"/>
      <w:pPr>
        <w:tabs>
          <w:tab w:val="num" w:pos="5040"/>
        </w:tabs>
        <w:ind w:left="5040" w:hanging="360"/>
      </w:pPr>
      <w:rPr>
        <w:rFonts w:ascii="Arial" w:hAnsi="Arial" w:hint="default"/>
      </w:rPr>
    </w:lvl>
    <w:lvl w:ilvl="7" w:tplc="292CC444" w:tentative="1">
      <w:start w:val="1"/>
      <w:numFmt w:val="bullet"/>
      <w:lvlText w:val="•"/>
      <w:lvlJc w:val="left"/>
      <w:pPr>
        <w:tabs>
          <w:tab w:val="num" w:pos="5760"/>
        </w:tabs>
        <w:ind w:left="5760" w:hanging="360"/>
      </w:pPr>
      <w:rPr>
        <w:rFonts w:ascii="Arial" w:hAnsi="Arial" w:hint="default"/>
      </w:rPr>
    </w:lvl>
    <w:lvl w:ilvl="8" w:tplc="1D7CA75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B411FE"/>
    <w:multiLevelType w:val="hybridMultilevel"/>
    <w:tmpl w:val="C76C02F4"/>
    <w:lvl w:ilvl="0" w:tplc="75666D80">
      <w:start w:val="1"/>
      <w:numFmt w:val="bullet"/>
      <w:lvlText w:val="–"/>
      <w:lvlJc w:val="left"/>
      <w:pPr>
        <w:ind w:left="720" w:hanging="360"/>
      </w:pPr>
      <w:rPr>
        <w:rFonts w:ascii="Palatino Linotype" w:hAnsi="Palatino Linotype"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6A97904"/>
    <w:multiLevelType w:val="multilevel"/>
    <w:tmpl w:val="A22C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6C24A5"/>
    <w:multiLevelType w:val="hybridMultilevel"/>
    <w:tmpl w:val="27BCE4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BA110C2"/>
    <w:multiLevelType w:val="hybridMultilevel"/>
    <w:tmpl w:val="4106E1A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4221595">
    <w:abstractNumId w:val="0"/>
  </w:num>
  <w:num w:numId="2" w16cid:durableId="582036453">
    <w:abstractNumId w:val="13"/>
  </w:num>
  <w:num w:numId="3" w16cid:durableId="1946230844">
    <w:abstractNumId w:val="22"/>
  </w:num>
  <w:num w:numId="4" w16cid:durableId="1950970711">
    <w:abstractNumId w:val="5"/>
  </w:num>
  <w:num w:numId="5" w16cid:durableId="2025740987">
    <w:abstractNumId w:val="28"/>
  </w:num>
  <w:num w:numId="6" w16cid:durableId="778796921">
    <w:abstractNumId w:val="12"/>
  </w:num>
  <w:num w:numId="7" w16cid:durableId="1621959118">
    <w:abstractNumId w:val="18"/>
  </w:num>
  <w:num w:numId="8" w16cid:durableId="183129270">
    <w:abstractNumId w:val="1"/>
  </w:num>
  <w:num w:numId="9" w16cid:durableId="1282298478">
    <w:abstractNumId w:val="11"/>
  </w:num>
  <w:num w:numId="10" w16cid:durableId="1829052222">
    <w:abstractNumId w:val="15"/>
  </w:num>
  <w:num w:numId="11" w16cid:durableId="1868983698">
    <w:abstractNumId w:val="2"/>
  </w:num>
  <w:num w:numId="12" w16cid:durableId="994186998">
    <w:abstractNumId w:val="16"/>
  </w:num>
  <w:num w:numId="13" w16cid:durableId="535125221">
    <w:abstractNumId w:val="8"/>
  </w:num>
  <w:num w:numId="14" w16cid:durableId="1682079480">
    <w:abstractNumId w:val="26"/>
  </w:num>
  <w:num w:numId="15" w16cid:durableId="1226524940">
    <w:abstractNumId w:val="14"/>
  </w:num>
  <w:num w:numId="16" w16cid:durableId="1754005905">
    <w:abstractNumId w:val="6"/>
  </w:num>
  <w:num w:numId="17" w16cid:durableId="912396332">
    <w:abstractNumId w:val="21"/>
  </w:num>
  <w:num w:numId="18" w16cid:durableId="1068959158">
    <w:abstractNumId w:val="23"/>
  </w:num>
  <w:num w:numId="19" w16cid:durableId="905456712">
    <w:abstractNumId w:val="9"/>
  </w:num>
  <w:num w:numId="20" w16cid:durableId="590939141">
    <w:abstractNumId w:val="7"/>
  </w:num>
  <w:num w:numId="21" w16cid:durableId="499851517">
    <w:abstractNumId w:val="20"/>
  </w:num>
  <w:num w:numId="22" w16cid:durableId="1623881212">
    <w:abstractNumId w:val="4"/>
  </w:num>
  <w:num w:numId="23" w16cid:durableId="1743062116">
    <w:abstractNumId w:val="10"/>
  </w:num>
  <w:num w:numId="24" w16cid:durableId="942608607">
    <w:abstractNumId w:val="27"/>
  </w:num>
  <w:num w:numId="25" w16cid:durableId="1917350481">
    <w:abstractNumId w:val="25"/>
  </w:num>
  <w:num w:numId="26" w16cid:durableId="506289269">
    <w:abstractNumId w:val="3"/>
  </w:num>
  <w:num w:numId="27" w16cid:durableId="154607928">
    <w:abstractNumId w:val="24"/>
  </w:num>
  <w:num w:numId="28" w16cid:durableId="515116892">
    <w:abstractNumId w:val="19"/>
  </w:num>
  <w:num w:numId="29" w16cid:durableId="11286270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CA"/>
    <w:rsid w:val="00001F4C"/>
    <w:rsid w:val="000057C1"/>
    <w:rsid w:val="00005E43"/>
    <w:rsid w:val="000163F0"/>
    <w:rsid w:val="00032A4C"/>
    <w:rsid w:val="000537E7"/>
    <w:rsid w:val="00096C8E"/>
    <w:rsid w:val="000A2AD5"/>
    <w:rsid w:val="000C37F6"/>
    <w:rsid w:val="000E3AA9"/>
    <w:rsid w:val="001034DB"/>
    <w:rsid w:val="001111C5"/>
    <w:rsid w:val="0011453E"/>
    <w:rsid w:val="001279D1"/>
    <w:rsid w:val="001448C1"/>
    <w:rsid w:val="001D164D"/>
    <w:rsid w:val="002245F8"/>
    <w:rsid w:val="00233A33"/>
    <w:rsid w:val="00260A20"/>
    <w:rsid w:val="002A598C"/>
    <w:rsid w:val="002B0721"/>
    <w:rsid w:val="002B1890"/>
    <w:rsid w:val="00336ADA"/>
    <w:rsid w:val="00366C1D"/>
    <w:rsid w:val="00375F80"/>
    <w:rsid w:val="003E01CA"/>
    <w:rsid w:val="003E411A"/>
    <w:rsid w:val="0042083B"/>
    <w:rsid w:val="00422EB7"/>
    <w:rsid w:val="00430C8C"/>
    <w:rsid w:val="0048504B"/>
    <w:rsid w:val="00496A52"/>
    <w:rsid w:val="004B08A6"/>
    <w:rsid w:val="00510653"/>
    <w:rsid w:val="00593570"/>
    <w:rsid w:val="005A29DE"/>
    <w:rsid w:val="005E1DCE"/>
    <w:rsid w:val="005E36B0"/>
    <w:rsid w:val="006058C4"/>
    <w:rsid w:val="00606CCD"/>
    <w:rsid w:val="00633ACA"/>
    <w:rsid w:val="00657537"/>
    <w:rsid w:val="00677ED0"/>
    <w:rsid w:val="00690464"/>
    <w:rsid w:val="006B6F1D"/>
    <w:rsid w:val="006C3934"/>
    <w:rsid w:val="006D032B"/>
    <w:rsid w:val="006D6435"/>
    <w:rsid w:val="006E156F"/>
    <w:rsid w:val="006E298E"/>
    <w:rsid w:val="00717892"/>
    <w:rsid w:val="00750FBA"/>
    <w:rsid w:val="00787262"/>
    <w:rsid w:val="007906A7"/>
    <w:rsid w:val="00791E09"/>
    <w:rsid w:val="0079496A"/>
    <w:rsid w:val="00795AA6"/>
    <w:rsid w:val="007B73D6"/>
    <w:rsid w:val="007D2E53"/>
    <w:rsid w:val="007F4B0C"/>
    <w:rsid w:val="00805E6D"/>
    <w:rsid w:val="00833908"/>
    <w:rsid w:val="00842EB1"/>
    <w:rsid w:val="00843FFA"/>
    <w:rsid w:val="00847F4A"/>
    <w:rsid w:val="00853DDA"/>
    <w:rsid w:val="0089549F"/>
    <w:rsid w:val="008B0EAA"/>
    <w:rsid w:val="008F18A9"/>
    <w:rsid w:val="0092683F"/>
    <w:rsid w:val="00930415"/>
    <w:rsid w:val="00934C9E"/>
    <w:rsid w:val="00950215"/>
    <w:rsid w:val="00950C7C"/>
    <w:rsid w:val="00977981"/>
    <w:rsid w:val="00987088"/>
    <w:rsid w:val="009A6CFE"/>
    <w:rsid w:val="009A6F70"/>
    <w:rsid w:val="009B49B8"/>
    <w:rsid w:val="009F36D9"/>
    <w:rsid w:val="00A02026"/>
    <w:rsid w:val="00A22881"/>
    <w:rsid w:val="00A63FE1"/>
    <w:rsid w:val="00AA09CD"/>
    <w:rsid w:val="00AC0F51"/>
    <w:rsid w:val="00AF136A"/>
    <w:rsid w:val="00B034CD"/>
    <w:rsid w:val="00B064BC"/>
    <w:rsid w:val="00BC1105"/>
    <w:rsid w:val="00BD72F3"/>
    <w:rsid w:val="00BD77F9"/>
    <w:rsid w:val="00C51410"/>
    <w:rsid w:val="00C5619A"/>
    <w:rsid w:val="00C71121"/>
    <w:rsid w:val="00C82C30"/>
    <w:rsid w:val="00CA5BFE"/>
    <w:rsid w:val="00CA678C"/>
    <w:rsid w:val="00CE0F4E"/>
    <w:rsid w:val="00CE6A7E"/>
    <w:rsid w:val="00D1143C"/>
    <w:rsid w:val="00D20044"/>
    <w:rsid w:val="00D21413"/>
    <w:rsid w:val="00D36428"/>
    <w:rsid w:val="00D854CD"/>
    <w:rsid w:val="00DA0DBC"/>
    <w:rsid w:val="00DB13F7"/>
    <w:rsid w:val="00DB3788"/>
    <w:rsid w:val="00DB61EF"/>
    <w:rsid w:val="00DC3063"/>
    <w:rsid w:val="00DD3C83"/>
    <w:rsid w:val="00E12767"/>
    <w:rsid w:val="00E1349A"/>
    <w:rsid w:val="00E76CE9"/>
    <w:rsid w:val="00E84AD4"/>
    <w:rsid w:val="00E84BDD"/>
    <w:rsid w:val="00E85D4E"/>
    <w:rsid w:val="00E90608"/>
    <w:rsid w:val="00E93DBB"/>
    <w:rsid w:val="00E96950"/>
    <w:rsid w:val="00EB5906"/>
    <w:rsid w:val="00EB7E60"/>
    <w:rsid w:val="00EC0664"/>
    <w:rsid w:val="00EC4161"/>
    <w:rsid w:val="00EC5562"/>
    <w:rsid w:val="00ED0AA2"/>
    <w:rsid w:val="00ED141A"/>
    <w:rsid w:val="00ED44AB"/>
    <w:rsid w:val="00F02C9C"/>
    <w:rsid w:val="00F10CE9"/>
    <w:rsid w:val="00F64D97"/>
    <w:rsid w:val="00F754D3"/>
    <w:rsid w:val="00F76B3B"/>
    <w:rsid w:val="00FA0472"/>
    <w:rsid w:val="00FA5DC0"/>
    <w:rsid w:val="00FD191E"/>
    <w:rsid w:val="00FD20F7"/>
    <w:rsid w:val="493892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96B8"/>
  <w15:chartTrackingRefBased/>
  <w15:docId w15:val="{9676727B-B75D-4074-950F-E3102EC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CA"/>
    <w:pPr>
      <w:spacing w:after="120" w:line="240" w:lineRule="auto"/>
      <w:jc w:val="both"/>
    </w:pPr>
    <w:rPr>
      <w:rFonts w:ascii="Palatino Linotype" w:hAnsi="Palatino Linotype" w:cstheme="minorHAnsi"/>
      <w:sz w:val="24"/>
    </w:rPr>
  </w:style>
  <w:style w:type="paragraph" w:styleId="Heading1">
    <w:name w:val="heading 1"/>
    <w:basedOn w:val="Normal"/>
    <w:next w:val="Normal"/>
    <w:link w:val="Heading1Char"/>
    <w:uiPriority w:val="9"/>
    <w:qFormat/>
    <w:rsid w:val="00E85D4E"/>
    <w:pPr>
      <w:keepNext/>
      <w:keepLines/>
      <w:spacing w:before="360" w:after="80"/>
      <w:outlineLvl w:val="0"/>
    </w:pPr>
    <w:rPr>
      <w:rFonts w:eastAsiaTheme="majorEastAsia" w:cstheme="majorBidi"/>
      <w:b/>
      <w:color w:val="C00000"/>
      <w:sz w:val="28"/>
      <w:szCs w:val="40"/>
    </w:rPr>
  </w:style>
  <w:style w:type="paragraph" w:styleId="Heading2">
    <w:name w:val="heading 2"/>
    <w:basedOn w:val="Normal"/>
    <w:next w:val="Normal"/>
    <w:link w:val="Heading2Char"/>
    <w:uiPriority w:val="9"/>
    <w:unhideWhenUsed/>
    <w:qFormat/>
    <w:rsid w:val="0011453E"/>
    <w:pPr>
      <w:keepNext/>
      <w:keepLines/>
      <w:spacing w:before="160" w:after="80"/>
      <w:outlineLvl w:val="1"/>
    </w:pPr>
    <w:rPr>
      <w:rFonts w:eastAsiaTheme="majorEastAsia" w:cstheme="majorBidi"/>
      <w:b/>
      <w:color w:val="C00000"/>
      <w:szCs w:val="32"/>
    </w:rPr>
  </w:style>
  <w:style w:type="paragraph" w:styleId="Heading3">
    <w:name w:val="heading 3"/>
    <w:basedOn w:val="Normal"/>
    <w:next w:val="Normal"/>
    <w:link w:val="Heading3Char"/>
    <w:uiPriority w:val="9"/>
    <w:unhideWhenUsed/>
    <w:qFormat/>
    <w:rsid w:val="0092683F"/>
    <w:pPr>
      <w:keepNext/>
      <w:keepLines/>
      <w:spacing w:before="160" w:after="80"/>
      <w:outlineLvl w:val="2"/>
    </w:pPr>
    <w:rPr>
      <w:rFonts w:eastAsiaTheme="majorEastAsia" w:cstheme="majorBidi"/>
      <w:i/>
      <w:color w:val="C00000"/>
      <w:szCs w:val="28"/>
    </w:rPr>
  </w:style>
  <w:style w:type="paragraph" w:styleId="Heading4">
    <w:name w:val="heading 4"/>
    <w:basedOn w:val="Normal"/>
    <w:next w:val="Normal"/>
    <w:link w:val="Heading4Char"/>
    <w:uiPriority w:val="9"/>
    <w:semiHidden/>
    <w:unhideWhenUsed/>
    <w:qFormat/>
    <w:rsid w:val="00633ACA"/>
    <w:pPr>
      <w:keepNext/>
      <w:keepLines/>
      <w:spacing w:before="80" w:after="40"/>
      <w:outlineLvl w:val="3"/>
    </w:pPr>
    <w:rPr>
      <w:rFonts w:eastAsiaTheme="majorEastAsia" w:cstheme="majorBidi"/>
      <w:i/>
      <w:iCs/>
      <w:color w:val="8F0000" w:themeColor="accent1" w:themeShade="BF"/>
    </w:rPr>
  </w:style>
  <w:style w:type="paragraph" w:styleId="Heading5">
    <w:name w:val="heading 5"/>
    <w:basedOn w:val="Normal"/>
    <w:next w:val="Normal"/>
    <w:link w:val="Heading5Char"/>
    <w:uiPriority w:val="9"/>
    <w:semiHidden/>
    <w:unhideWhenUsed/>
    <w:qFormat/>
    <w:rsid w:val="00633ACA"/>
    <w:pPr>
      <w:keepNext/>
      <w:keepLines/>
      <w:spacing w:before="80" w:after="40"/>
      <w:outlineLvl w:val="4"/>
    </w:pPr>
    <w:rPr>
      <w:rFonts w:eastAsiaTheme="majorEastAsia" w:cstheme="majorBidi"/>
      <w:color w:val="8F0000" w:themeColor="accent1" w:themeShade="BF"/>
    </w:rPr>
  </w:style>
  <w:style w:type="paragraph" w:styleId="Heading6">
    <w:name w:val="heading 6"/>
    <w:basedOn w:val="Normal"/>
    <w:next w:val="Normal"/>
    <w:link w:val="Heading6Char"/>
    <w:uiPriority w:val="9"/>
    <w:semiHidden/>
    <w:unhideWhenUsed/>
    <w:qFormat/>
    <w:rsid w:val="00633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4E"/>
    <w:rPr>
      <w:rFonts w:ascii="Palatino Linotype" w:eastAsiaTheme="majorEastAsia" w:hAnsi="Palatino Linotype" w:cstheme="majorBidi"/>
      <w:b/>
      <w:color w:val="C00000"/>
      <w:sz w:val="28"/>
      <w:szCs w:val="40"/>
    </w:rPr>
  </w:style>
  <w:style w:type="character" w:customStyle="1" w:styleId="Heading2Char">
    <w:name w:val="Heading 2 Char"/>
    <w:basedOn w:val="DefaultParagraphFont"/>
    <w:link w:val="Heading2"/>
    <w:uiPriority w:val="9"/>
    <w:rsid w:val="0011453E"/>
    <w:rPr>
      <w:rFonts w:ascii="Palatino Linotype" w:eastAsiaTheme="majorEastAsia" w:hAnsi="Palatino Linotype" w:cstheme="majorBidi"/>
      <w:b/>
      <w:color w:val="C00000"/>
      <w:sz w:val="24"/>
      <w:szCs w:val="32"/>
    </w:rPr>
  </w:style>
  <w:style w:type="character" w:customStyle="1" w:styleId="Heading3Char">
    <w:name w:val="Heading 3 Char"/>
    <w:basedOn w:val="DefaultParagraphFont"/>
    <w:link w:val="Heading3"/>
    <w:uiPriority w:val="9"/>
    <w:rsid w:val="0092683F"/>
    <w:rPr>
      <w:rFonts w:ascii="Palatino Linotype" w:eastAsiaTheme="majorEastAsia" w:hAnsi="Palatino Linotype" w:cstheme="majorBidi"/>
      <w:i/>
      <w:color w:val="C00000"/>
      <w:sz w:val="24"/>
      <w:szCs w:val="28"/>
    </w:rPr>
  </w:style>
  <w:style w:type="character" w:customStyle="1" w:styleId="Heading4Char">
    <w:name w:val="Heading 4 Char"/>
    <w:basedOn w:val="DefaultParagraphFont"/>
    <w:link w:val="Heading4"/>
    <w:uiPriority w:val="9"/>
    <w:semiHidden/>
    <w:rsid w:val="00633ACA"/>
    <w:rPr>
      <w:rFonts w:eastAsiaTheme="majorEastAsia" w:cstheme="majorBidi"/>
      <w:i/>
      <w:iCs/>
      <w:color w:val="8F0000" w:themeColor="accent1" w:themeShade="BF"/>
    </w:rPr>
  </w:style>
  <w:style w:type="character" w:customStyle="1" w:styleId="Heading5Char">
    <w:name w:val="Heading 5 Char"/>
    <w:basedOn w:val="DefaultParagraphFont"/>
    <w:link w:val="Heading5"/>
    <w:uiPriority w:val="9"/>
    <w:semiHidden/>
    <w:rsid w:val="00633ACA"/>
    <w:rPr>
      <w:rFonts w:eastAsiaTheme="majorEastAsia" w:cstheme="majorBidi"/>
      <w:color w:val="8F0000" w:themeColor="accent1" w:themeShade="BF"/>
    </w:rPr>
  </w:style>
  <w:style w:type="character" w:customStyle="1" w:styleId="Heading6Char">
    <w:name w:val="Heading 6 Char"/>
    <w:basedOn w:val="DefaultParagraphFont"/>
    <w:link w:val="Heading6"/>
    <w:uiPriority w:val="9"/>
    <w:semiHidden/>
    <w:rsid w:val="00633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ACA"/>
    <w:rPr>
      <w:rFonts w:eastAsiaTheme="majorEastAsia" w:cstheme="majorBidi"/>
      <w:color w:val="272727" w:themeColor="text1" w:themeTint="D8"/>
    </w:rPr>
  </w:style>
  <w:style w:type="paragraph" w:styleId="Title">
    <w:name w:val="Title"/>
    <w:basedOn w:val="Normal"/>
    <w:next w:val="Normal"/>
    <w:link w:val="TitleChar"/>
    <w:uiPriority w:val="10"/>
    <w:qFormat/>
    <w:rsid w:val="00633ACA"/>
    <w:pPr>
      <w:spacing w:after="80"/>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633ACA"/>
    <w:rPr>
      <w:rFonts w:ascii="Palatino Linotype" w:eastAsiaTheme="majorEastAsia" w:hAnsi="Palatino Linotype" w:cstheme="majorBidi"/>
      <w:b/>
      <w:caps/>
      <w:spacing w:val="-10"/>
      <w:kern w:val="28"/>
      <w:sz w:val="32"/>
      <w:szCs w:val="56"/>
    </w:rPr>
  </w:style>
  <w:style w:type="paragraph" w:styleId="Subtitle">
    <w:name w:val="Subtitle"/>
    <w:basedOn w:val="Normal"/>
    <w:next w:val="Normal"/>
    <w:link w:val="SubtitleChar"/>
    <w:uiPriority w:val="11"/>
    <w:qFormat/>
    <w:rsid w:val="00633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ACA"/>
    <w:pPr>
      <w:spacing w:before="160"/>
      <w:jc w:val="center"/>
    </w:pPr>
    <w:rPr>
      <w:i/>
      <w:iCs/>
      <w:color w:val="404040" w:themeColor="text1" w:themeTint="BF"/>
    </w:rPr>
  </w:style>
  <w:style w:type="character" w:customStyle="1" w:styleId="QuoteChar">
    <w:name w:val="Quote Char"/>
    <w:basedOn w:val="DefaultParagraphFont"/>
    <w:link w:val="Quote"/>
    <w:uiPriority w:val="29"/>
    <w:rsid w:val="00633ACA"/>
    <w:rPr>
      <w:i/>
      <w:iCs/>
      <w:color w:val="404040" w:themeColor="text1" w:themeTint="BF"/>
    </w:rPr>
  </w:style>
  <w:style w:type="paragraph" w:styleId="ListParagraph">
    <w:name w:val="List Paragraph"/>
    <w:basedOn w:val="Normal"/>
    <w:uiPriority w:val="34"/>
    <w:qFormat/>
    <w:rsid w:val="00633ACA"/>
    <w:pPr>
      <w:ind w:left="720"/>
      <w:contextualSpacing/>
    </w:pPr>
  </w:style>
  <w:style w:type="character" w:styleId="IntenseEmphasis">
    <w:name w:val="Intense Emphasis"/>
    <w:basedOn w:val="DefaultParagraphFont"/>
    <w:uiPriority w:val="21"/>
    <w:qFormat/>
    <w:rsid w:val="00633ACA"/>
    <w:rPr>
      <w:i/>
      <w:iCs/>
      <w:color w:val="8F0000" w:themeColor="accent1" w:themeShade="BF"/>
    </w:rPr>
  </w:style>
  <w:style w:type="paragraph" w:styleId="IntenseQuote">
    <w:name w:val="Intense Quote"/>
    <w:basedOn w:val="Normal"/>
    <w:next w:val="Normal"/>
    <w:link w:val="IntenseQuoteChar"/>
    <w:uiPriority w:val="30"/>
    <w:qFormat/>
    <w:rsid w:val="00633ACA"/>
    <w:pPr>
      <w:pBdr>
        <w:top w:val="single" w:sz="4" w:space="10" w:color="8F0000" w:themeColor="accent1" w:themeShade="BF"/>
        <w:bottom w:val="single" w:sz="4" w:space="10" w:color="8F0000" w:themeColor="accent1" w:themeShade="BF"/>
      </w:pBdr>
      <w:spacing w:before="360" w:after="360"/>
      <w:ind w:left="864" w:right="864"/>
      <w:jc w:val="center"/>
    </w:pPr>
    <w:rPr>
      <w:i/>
      <w:iCs/>
      <w:color w:val="8F0000" w:themeColor="accent1" w:themeShade="BF"/>
    </w:rPr>
  </w:style>
  <w:style w:type="character" w:customStyle="1" w:styleId="IntenseQuoteChar">
    <w:name w:val="Intense Quote Char"/>
    <w:basedOn w:val="DefaultParagraphFont"/>
    <w:link w:val="IntenseQuote"/>
    <w:uiPriority w:val="30"/>
    <w:rsid w:val="00633ACA"/>
    <w:rPr>
      <w:i/>
      <w:iCs/>
      <w:color w:val="8F0000" w:themeColor="accent1" w:themeShade="BF"/>
    </w:rPr>
  </w:style>
  <w:style w:type="character" w:styleId="IntenseReference">
    <w:name w:val="Intense Reference"/>
    <w:basedOn w:val="DefaultParagraphFont"/>
    <w:uiPriority w:val="32"/>
    <w:qFormat/>
    <w:rsid w:val="00633ACA"/>
    <w:rPr>
      <w:b/>
      <w:bCs/>
      <w:smallCaps/>
      <w:color w:val="8F0000" w:themeColor="accent1" w:themeShade="BF"/>
      <w:spacing w:val="5"/>
    </w:rPr>
  </w:style>
  <w:style w:type="table" w:styleId="TableGrid">
    <w:name w:val="Table Grid"/>
    <w:basedOn w:val="TableNormal"/>
    <w:uiPriority w:val="59"/>
    <w:rsid w:val="00633ACA"/>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5D4E"/>
    <w:pPr>
      <w:tabs>
        <w:tab w:val="center" w:pos="4536"/>
        <w:tab w:val="right" w:pos="9072"/>
      </w:tabs>
      <w:spacing w:after="0"/>
    </w:pPr>
  </w:style>
  <w:style w:type="character" w:customStyle="1" w:styleId="HeaderChar">
    <w:name w:val="Header Char"/>
    <w:basedOn w:val="DefaultParagraphFont"/>
    <w:link w:val="Header"/>
    <w:uiPriority w:val="99"/>
    <w:rsid w:val="00E85D4E"/>
    <w:rPr>
      <w:rFonts w:ascii="Palatino Linotype" w:hAnsi="Palatino Linotype" w:cstheme="minorHAnsi"/>
      <w:sz w:val="24"/>
    </w:rPr>
  </w:style>
  <w:style w:type="paragraph" w:styleId="Footer">
    <w:name w:val="footer"/>
    <w:basedOn w:val="Normal"/>
    <w:link w:val="FooterChar"/>
    <w:uiPriority w:val="99"/>
    <w:unhideWhenUsed/>
    <w:rsid w:val="00E85D4E"/>
    <w:pPr>
      <w:tabs>
        <w:tab w:val="center" w:pos="4536"/>
        <w:tab w:val="right" w:pos="9072"/>
      </w:tabs>
      <w:spacing w:after="0"/>
    </w:pPr>
  </w:style>
  <w:style w:type="character" w:customStyle="1" w:styleId="FooterChar">
    <w:name w:val="Footer Char"/>
    <w:basedOn w:val="DefaultParagraphFont"/>
    <w:link w:val="Footer"/>
    <w:uiPriority w:val="99"/>
    <w:rsid w:val="00E85D4E"/>
    <w:rPr>
      <w:rFonts w:ascii="Palatino Linotype" w:hAnsi="Palatino Linotype" w:cstheme="minorHAnsi"/>
      <w:sz w:val="24"/>
    </w:rPr>
  </w:style>
  <w:style w:type="table" w:styleId="GridTable5Dark-Accent1">
    <w:name w:val="Grid Table 5 Dark Accent 1"/>
    <w:basedOn w:val="TableNormal"/>
    <w:uiPriority w:val="50"/>
    <w:rsid w:val="001145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1"/>
      </w:tcPr>
    </w:tblStylePr>
    <w:tblStylePr w:type="band1Vert">
      <w:tblPr/>
      <w:tcPr>
        <w:shd w:val="clear" w:color="auto" w:fill="FF7F7F" w:themeFill="accent1" w:themeFillTint="66"/>
      </w:tcPr>
    </w:tblStylePr>
    <w:tblStylePr w:type="band1Horz">
      <w:tblPr/>
      <w:tcPr>
        <w:shd w:val="clear" w:color="auto" w:fill="FF7F7F" w:themeFill="accent1" w:themeFillTint="66"/>
      </w:tcPr>
    </w:tblStylePr>
  </w:style>
  <w:style w:type="paragraph" w:styleId="FootnoteText">
    <w:name w:val="footnote text"/>
    <w:basedOn w:val="Normal"/>
    <w:link w:val="FootnoteTextChar"/>
    <w:uiPriority w:val="99"/>
    <w:semiHidden/>
    <w:unhideWhenUsed/>
    <w:rsid w:val="005A29DE"/>
    <w:pPr>
      <w:spacing w:after="0"/>
    </w:pPr>
    <w:rPr>
      <w:sz w:val="20"/>
      <w:szCs w:val="20"/>
    </w:rPr>
  </w:style>
  <w:style w:type="character" w:customStyle="1" w:styleId="FootnoteTextChar">
    <w:name w:val="Footnote Text Char"/>
    <w:basedOn w:val="DefaultParagraphFont"/>
    <w:link w:val="FootnoteText"/>
    <w:uiPriority w:val="99"/>
    <w:semiHidden/>
    <w:rsid w:val="005A29DE"/>
    <w:rPr>
      <w:rFonts w:ascii="Palatino Linotype" w:hAnsi="Palatino Linotype" w:cstheme="minorHAnsi"/>
      <w:sz w:val="20"/>
      <w:szCs w:val="20"/>
    </w:rPr>
  </w:style>
  <w:style w:type="character" w:styleId="FootnoteReference">
    <w:name w:val="footnote reference"/>
    <w:basedOn w:val="DefaultParagraphFont"/>
    <w:uiPriority w:val="99"/>
    <w:semiHidden/>
    <w:unhideWhenUsed/>
    <w:rsid w:val="005A29DE"/>
    <w:rPr>
      <w:vertAlign w:val="superscript"/>
    </w:rPr>
  </w:style>
  <w:style w:type="paragraph" w:styleId="ListBullet">
    <w:name w:val="List Bullet"/>
    <w:basedOn w:val="Normal"/>
    <w:uiPriority w:val="99"/>
    <w:unhideWhenUsed/>
    <w:rsid w:val="005A29DE"/>
    <w:pPr>
      <w:numPr>
        <w:numId w:val="1"/>
      </w:numPr>
      <w:tabs>
        <w:tab w:val="clear" w:pos="360"/>
      </w:tabs>
      <w:spacing w:after="200" w:line="276" w:lineRule="auto"/>
      <w:ind w:left="0" w:firstLine="0"/>
      <w:contextualSpacing/>
      <w:jc w:val="left"/>
    </w:pPr>
    <w:rPr>
      <w:rFonts w:ascii="Calibri" w:eastAsiaTheme="minorEastAsia" w:hAnsi="Calibri" w:cstheme="minorBidi"/>
      <w:kern w:val="0"/>
      <w:sz w:val="22"/>
      <w:lang w:val="en-US"/>
      <w14:ligatures w14:val="none"/>
    </w:rPr>
  </w:style>
  <w:style w:type="table" w:styleId="GridTable4-Accent1">
    <w:name w:val="Grid Table 4 Accent 1"/>
    <w:basedOn w:val="TableNormal"/>
    <w:uiPriority w:val="49"/>
    <w:rsid w:val="0092683F"/>
    <w:pPr>
      <w:spacing w:after="0" w:line="240" w:lineRule="auto"/>
    </w:pPr>
    <w:tblPr>
      <w:tblStyleRowBandSize w:val="1"/>
      <w:tblStyleColBandSize w:val="1"/>
      <w:tblBorders>
        <w:top w:val="single" w:sz="4" w:space="0" w:color="FF4040" w:themeColor="accent1" w:themeTint="99"/>
        <w:left w:val="single" w:sz="4" w:space="0" w:color="FF4040" w:themeColor="accent1" w:themeTint="99"/>
        <w:bottom w:val="single" w:sz="4" w:space="0" w:color="FF4040" w:themeColor="accent1" w:themeTint="99"/>
        <w:right w:val="single" w:sz="4" w:space="0" w:color="FF4040" w:themeColor="accent1" w:themeTint="99"/>
        <w:insideH w:val="single" w:sz="4" w:space="0" w:color="FF4040" w:themeColor="accent1" w:themeTint="99"/>
        <w:insideV w:val="single" w:sz="4" w:space="0" w:color="FF4040" w:themeColor="accent1" w:themeTint="99"/>
      </w:tblBorders>
    </w:tblPr>
    <w:tblStylePr w:type="firstRow">
      <w:rPr>
        <w:b/>
        <w:bCs/>
        <w:color w:val="FFFFFF" w:themeColor="background1"/>
      </w:rPr>
      <w:tblPr/>
      <w:tcPr>
        <w:tcBorders>
          <w:top w:val="single" w:sz="4" w:space="0" w:color="C00000" w:themeColor="accent1"/>
          <w:left w:val="single" w:sz="4" w:space="0" w:color="C00000" w:themeColor="accent1"/>
          <w:bottom w:val="single" w:sz="4" w:space="0" w:color="C00000" w:themeColor="accent1"/>
          <w:right w:val="single" w:sz="4" w:space="0" w:color="C00000" w:themeColor="accent1"/>
          <w:insideH w:val="nil"/>
          <w:insideV w:val="nil"/>
        </w:tcBorders>
        <w:shd w:val="clear" w:color="auto" w:fill="C00000" w:themeFill="accent1"/>
      </w:tcPr>
    </w:tblStylePr>
    <w:tblStylePr w:type="lastRow">
      <w:rPr>
        <w:b/>
        <w:bCs/>
      </w:rPr>
      <w:tblPr/>
      <w:tcPr>
        <w:tcBorders>
          <w:top w:val="double" w:sz="4" w:space="0" w:color="C00000" w:themeColor="accent1"/>
        </w:tcBorders>
      </w:tcPr>
    </w:tblStylePr>
    <w:tblStylePr w:type="firstCol">
      <w:rPr>
        <w:b/>
        <w:bCs/>
      </w:rPr>
    </w:tblStylePr>
    <w:tblStylePr w:type="lastCol">
      <w:rPr>
        <w:b/>
        <w:bCs/>
      </w:rPr>
    </w:tblStylePr>
    <w:tblStylePr w:type="band1Vert">
      <w:tblPr/>
      <w:tcPr>
        <w:shd w:val="clear" w:color="auto" w:fill="FFBFBF" w:themeFill="accent1" w:themeFillTint="33"/>
      </w:tcPr>
    </w:tblStylePr>
    <w:tblStylePr w:type="band1Horz">
      <w:tblPr/>
      <w:tcPr>
        <w:shd w:val="clear" w:color="auto" w:fill="FFBFBF" w:themeFill="accent1" w:themeFillTint="33"/>
      </w:tcPr>
    </w:tblStylePr>
  </w:style>
  <w:style w:type="table" w:styleId="GridTable4-Accent3">
    <w:name w:val="Grid Table 4 Accent 3"/>
    <w:basedOn w:val="TableNormal"/>
    <w:uiPriority w:val="49"/>
    <w:rsid w:val="00930415"/>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Infobox">
    <w:name w:val="Infobox"/>
    <w:basedOn w:val="Normal"/>
    <w:qFormat/>
    <w:rsid w:val="00FD20F7"/>
    <w:pPr>
      <w:pBdr>
        <w:top w:val="single" w:sz="4" w:space="1" w:color="auto"/>
        <w:left w:val="single" w:sz="4" w:space="4" w:color="auto"/>
        <w:bottom w:val="single" w:sz="4" w:space="1" w:color="auto"/>
        <w:right w:val="single" w:sz="4" w:space="4" w:color="auto"/>
      </w:pBdr>
      <w:shd w:val="clear" w:color="auto" w:fill="FAE2D5" w:themeFill="accent2" w:themeFillTint="33"/>
    </w:pPr>
    <w:rPr>
      <w:sz w:val="18"/>
      <w:szCs w:val="18"/>
    </w:rPr>
  </w:style>
  <w:style w:type="character" w:styleId="Hyperlink">
    <w:name w:val="Hyperlink"/>
    <w:basedOn w:val="DefaultParagraphFont"/>
    <w:uiPriority w:val="99"/>
    <w:unhideWhenUsed/>
    <w:rsid w:val="00593570"/>
    <w:rPr>
      <w:color w:val="467886" w:themeColor="hyperlink"/>
      <w:u w:val="single"/>
    </w:rPr>
  </w:style>
  <w:style w:type="character" w:styleId="UnresolvedMention">
    <w:name w:val="Unresolved Mention"/>
    <w:basedOn w:val="DefaultParagraphFont"/>
    <w:uiPriority w:val="99"/>
    <w:semiHidden/>
    <w:unhideWhenUsed/>
    <w:rsid w:val="00593570"/>
    <w:rPr>
      <w:color w:val="605E5C"/>
      <w:shd w:val="clear" w:color="auto" w:fill="E1DFDD"/>
    </w:rPr>
  </w:style>
  <w:style w:type="character" w:styleId="FollowedHyperlink">
    <w:name w:val="FollowedHyperlink"/>
    <w:basedOn w:val="DefaultParagraphFont"/>
    <w:uiPriority w:val="99"/>
    <w:semiHidden/>
    <w:unhideWhenUsed/>
    <w:rsid w:val="00DB61EF"/>
    <w:rPr>
      <w:color w:val="96607D" w:themeColor="followedHyperlink"/>
      <w:u w:val="single"/>
    </w:rPr>
  </w:style>
  <w:style w:type="character" w:styleId="CommentReference">
    <w:name w:val="annotation reference"/>
    <w:basedOn w:val="DefaultParagraphFont"/>
    <w:uiPriority w:val="99"/>
    <w:semiHidden/>
    <w:unhideWhenUsed/>
    <w:rsid w:val="000A2AD5"/>
    <w:rPr>
      <w:sz w:val="16"/>
      <w:szCs w:val="16"/>
    </w:rPr>
  </w:style>
  <w:style w:type="paragraph" w:styleId="CommentText">
    <w:name w:val="annotation text"/>
    <w:basedOn w:val="Normal"/>
    <w:link w:val="CommentTextChar"/>
    <w:uiPriority w:val="99"/>
    <w:semiHidden/>
    <w:unhideWhenUsed/>
    <w:rsid w:val="000A2AD5"/>
    <w:rPr>
      <w:sz w:val="20"/>
      <w:szCs w:val="20"/>
    </w:rPr>
  </w:style>
  <w:style w:type="character" w:customStyle="1" w:styleId="CommentTextChar">
    <w:name w:val="Comment Text Char"/>
    <w:basedOn w:val="DefaultParagraphFont"/>
    <w:link w:val="CommentText"/>
    <w:uiPriority w:val="99"/>
    <w:semiHidden/>
    <w:rsid w:val="000A2AD5"/>
    <w:rPr>
      <w:rFonts w:ascii="Palatino Linotype" w:hAnsi="Palatino Linotype" w:cstheme="minorHAnsi"/>
      <w:sz w:val="20"/>
      <w:szCs w:val="20"/>
    </w:rPr>
  </w:style>
  <w:style w:type="paragraph" w:styleId="CommentSubject">
    <w:name w:val="annotation subject"/>
    <w:basedOn w:val="CommentText"/>
    <w:next w:val="CommentText"/>
    <w:link w:val="CommentSubjectChar"/>
    <w:uiPriority w:val="99"/>
    <w:semiHidden/>
    <w:unhideWhenUsed/>
    <w:rsid w:val="000A2AD5"/>
    <w:rPr>
      <w:b/>
      <w:bCs/>
    </w:rPr>
  </w:style>
  <w:style w:type="character" w:customStyle="1" w:styleId="CommentSubjectChar">
    <w:name w:val="Comment Subject Char"/>
    <w:basedOn w:val="CommentTextChar"/>
    <w:link w:val="CommentSubject"/>
    <w:uiPriority w:val="99"/>
    <w:semiHidden/>
    <w:rsid w:val="000A2AD5"/>
    <w:rPr>
      <w:rFonts w:ascii="Palatino Linotype" w:hAnsi="Palatino Linotype" w:cstheme="minorHAnsi"/>
      <w:b/>
      <w:bCs/>
      <w:sz w:val="20"/>
      <w:szCs w:val="20"/>
    </w:rPr>
  </w:style>
  <w:style w:type="character" w:styleId="HTMLCode">
    <w:name w:val="HTML Code"/>
    <w:basedOn w:val="DefaultParagraphFont"/>
    <w:uiPriority w:val="99"/>
    <w:semiHidden/>
    <w:unhideWhenUsed/>
    <w:rsid w:val="00D20044"/>
    <w:rPr>
      <w:rFonts w:ascii="Courier New" w:eastAsia="Times New Roman" w:hAnsi="Courier New" w:cs="Courier New"/>
      <w:sz w:val="20"/>
      <w:szCs w:val="20"/>
    </w:rPr>
  </w:style>
  <w:style w:type="paragraph" w:styleId="Revision">
    <w:name w:val="Revision"/>
    <w:hidden/>
    <w:uiPriority w:val="99"/>
    <w:semiHidden/>
    <w:rsid w:val="00F754D3"/>
    <w:pPr>
      <w:spacing w:after="0" w:line="240" w:lineRule="auto"/>
    </w:pPr>
    <w:rPr>
      <w:rFonts w:ascii="Palatino Linotype" w:hAnsi="Palatino Linotype" w:cstheme="minorHAnsi"/>
      <w:sz w:val="24"/>
    </w:rPr>
  </w:style>
  <w:style w:type="character" w:styleId="Strong">
    <w:name w:val="Strong"/>
    <w:basedOn w:val="DefaultParagraphFont"/>
    <w:uiPriority w:val="22"/>
    <w:qFormat/>
    <w:rsid w:val="00E84AD4"/>
    <w:rPr>
      <w:b/>
      <w:bCs/>
    </w:rPr>
  </w:style>
  <w:style w:type="paragraph" w:styleId="HTMLPreformatted">
    <w:name w:val="HTML Preformatted"/>
    <w:basedOn w:val="Normal"/>
    <w:link w:val="HTMLPreformattedChar"/>
    <w:uiPriority w:val="99"/>
    <w:semiHidden/>
    <w:unhideWhenUsed/>
    <w:rsid w:val="00EC4161"/>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4161"/>
    <w:rPr>
      <w:rFonts w:ascii="Consolas" w:hAnsi="Consola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1351">
      <w:bodyDiv w:val="1"/>
      <w:marLeft w:val="0"/>
      <w:marRight w:val="0"/>
      <w:marTop w:val="0"/>
      <w:marBottom w:val="0"/>
      <w:divBdr>
        <w:top w:val="none" w:sz="0" w:space="0" w:color="auto"/>
        <w:left w:val="none" w:sz="0" w:space="0" w:color="auto"/>
        <w:bottom w:val="none" w:sz="0" w:space="0" w:color="auto"/>
        <w:right w:val="none" w:sz="0" w:space="0" w:color="auto"/>
      </w:divBdr>
      <w:divsChild>
        <w:div w:id="1999192286">
          <w:marLeft w:val="0"/>
          <w:marRight w:val="0"/>
          <w:marTop w:val="0"/>
          <w:marBottom w:val="0"/>
          <w:divBdr>
            <w:top w:val="none" w:sz="0" w:space="0" w:color="auto"/>
            <w:left w:val="none" w:sz="0" w:space="0" w:color="auto"/>
            <w:bottom w:val="none" w:sz="0" w:space="0" w:color="auto"/>
            <w:right w:val="none" w:sz="0" w:space="0" w:color="auto"/>
          </w:divBdr>
        </w:div>
        <w:div w:id="247811084">
          <w:marLeft w:val="0"/>
          <w:marRight w:val="0"/>
          <w:marTop w:val="0"/>
          <w:marBottom w:val="0"/>
          <w:divBdr>
            <w:top w:val="none" w:sz="0" w:space="0" w:color="auto"/>
            <w:left w:val="none" w:sz="0" w:space="0" w:color="auto"/>
            <w:bottom w:val="none" w:sz="0" w:space="0" w:color="auto"/>
            <w:right w:val="none" w:sz="0" w:space="0" w:color="auto"/>
          </w:divBdr>
        </w:div>
      </w:divsChild>
    </w:div>
    <w:div w:id="171650641">
      <w:bodyDiv w:val="1"/>
      <w:marLeft w:val="0"/>
      <w:marRight w:val="0"/>
      <w:marTop w:val="0"/>
      <w:marBottom w:val="0"/>
      <w:divBdr>
        <w:top w:val="none" w:sz="0" w:space="0" w:color="auto"/>
        <w:left w:val="none" w:sz="0" w:space="0" w:color="auto"/>
        <w:bottom w:val="none" w:sz="0" w:space="0" w:color="auto"/>
        <w:right w:val="none" w:sz="0" w:space="0" w:color="auto"/>
      </w:divBdr>
    </w:div>
    <w:div w:id="188420947">
      <w:bodyDiv w:val="1"/>
      <w:marLeft w:val="0"/>
      <w:marRight w:val="0"/>
      <w:marTop w:val="0"/>
      <w:marBottom w:val="0"/>
      <w:divBdr>
        <w:top w:val="none" w:sz="0" w:space="0" w:color="auto"/>
        <w:left w:val="none" w:sz="0" w:space="0" w:color="auto"/>
        <w:bottom w:val="none" w:sz="0" w:space="0" w:color="auto"/>
        <w:right w:val="none" w:sz="0" w:space="0" w:color="auto"/>
      </w:divBdr>
    </w:div>
    <w:div w:id="198393037">
      <w:bodyDiv w:val="1"/>
      <w:marLeft w:val="0"/>
      <w:marRight w:val="0"/>
      <w:marTop w:val="0"/>
      <w:marBottom w:val="0"/>
      <w:divBdr>
        <w:top w:val="none" w:sz="0" w:space="0" w:color="auto"/>
        <w:left w:val="none" w:sz="0" w:space="0" w:color="auto"/>
        <w:bottom w:val="none" w:sz="0" w:space="0" w:color="auto"/>
        <w:right w:val="none" w:sz="0" w:space="0" w:color="auto"/>
      </w:divBdr>
    </w:div>
    <w:div w:id="201749544">
      <w:bodyDiv w:val="1"/>
      <w:marLeft w:val="0"/>
      <w:marRight w:val="0"/>
      <w:marTop w:val="0"/>
      <w:marBottom w:val="0"/>
      <w:divBdr>
        <w:top w:val="none" w:sz="0" w:space="0" w:color="auto"/>
        <w:left w:val="none" w:sz="0" w:space="0" w:color="auto"/>
        <w:bottom w:val="none" w:sz="0" w:space="0" w:color="auto"/>
        <w:right w:val="none" w:sz="0" w:space="0" w:color="auto"/>
      </w:divBdr>
    </w:div>
    <w:div w:id="248467097">
      <w:bodyDiv w:val="1"/>
      <w:marLeft w:val="0"/>
      <w:marRight w:val="0"/>
      <w:marTop w:val="0"/>
      <w:marBottom w:val="0"/>
      <w:divBdr>
        <w:top w:val="none" w:sz="0" w:space="0" w:color="auto"/>
        <w:left w:val="none" w:sz="0" w:space="0" w:color="auto"/>
        <w:bottom w:val="none" w:sz="0" w:space="0" w:color="auto"/>
        <w:right w:val="none" w:sz="0" w:space="0" w:color="auto"/>
      </w:divBdr>
      <w:divsChild>
        <w:div w:id="1951625971">
          <w:marLeft w:val="720"/>
          <w:marRight w:val="0"/>
          <w:marTop w:val="200"/>
          <w:marBottom w:val="0"/>
          <w:divBdr>
            <w:top w:val="none" w:sz="0" w:space="0" w:color="auto"/>
            <w:left w:val="none" w:sz="0" w:space="0" w:color="auto"/>
            <w:bottom w:val="none" w:sz="0" w:space="0" w:color="auto"/>
            <w:right w:val="none" w:sz="0" w:space="0" w:color="auto"/>
          </w:divBdr>
        </w:div>
      </w:divsChild>
    </w:div>
    <w:div w:id="299964923">
      <w:bodyDiv w:val="1"/>
      <w:marLeft w:val="0"/>
      <w:marRight w:val="0"/>
      <w:marTop w:val="0"/>
      <w:marBottom w:val="0"/>
      <w:divBdr>
        <w:top w:val="none" w:sz="0" w:space="0" w:color="auto"/>
        <w:left w:val="none" w:sz="0" w:space="0" w:color="auto"/>
        <w:bottom w:val="none" w:sz="0" w:space="0" w:color="auto"/>
        <w:right w:val="none" w:sz="0" w:space="0" w:color="auto"/>
      </w:divBdr>
      <w:divsChild>
        <w:div w:id="1746150477">
          <w:marLeft w:val="547"/>
          <w:marRight w:val="0"/>
          <w:marTop w:val="320"/>
          <w:marBottom w:val="0"/>
          <w:divBdr>
            <w:top w:val="none" w:sz="0" w:space="0" w:color="auto"/>
            <w:left w:val="none" w:sz="0" w:space="0" w:color="auto"/>
            <w:bottom w:val="none" w:sz="0" w:space="0" w:color="auto"/>
            <w:right w:val="none" w:sz="0" w:space="0" w:color="auto"/>
          </w:divBdr>
        </w:div>
        <w:div w:id="910383381">
          <w:marLeft w:val="547"/>
          <w:marRight w:val="0"/>
          <w:marTop w:val="320"/>
          <w:marBottom w:val="0"/>
          <w:divBdr>
            <w:top w:val="none" w:sz="0" w:space="0" w:color="auto"/>
            <w:left w:val="none" w:sz="0" w:space="0" w:color="auto"/>
            <w:bottom w:val="none" w:sz="0" w:space="0" w:color="auto"/>
            <w:right w:val="none" w:sz="0" w:space="0" w:color="auto"/>
          </w:divBdr>
        </w:div>
        <w:div w:id="1013528098">
          <w:marLeft w:val="547"/>
          <w:marRight w:val="0"/>
          <w:marTop w:val="320"/>
          <w:marBottom w:val="0"/>
          <w:divBdr>
            <w:top w:val="none" w:sz="0" w:space="0" w:color="auto"/>
            <w:left w:val="none" w:sz="0" w:space="0" w:color="auto"/>
            <w:bottom w:val="none" w:sz="0" w:space="0" w:color="auto"/>
            <w:right w:val="none" w:sz="0" w:space="0" w:color="auto"/>
          </w:divBdr>
        </w:div>
        <w:div w:id="572617084">
          <w:marLeft w:val="547"/>
          <w:marRight w:val="0"/>
          <w:marTop w:val="320"/>
          <w:marBottom w:val="0"/>
          <w:divBdr>
            <w:top w:val="none" w:sz="0" w:space="0" w:color="auto"/>
            <w:left w:val="none" w:sz="0" w:space="0" w:color="auto"/>
            <w:bottom w:val="none" w:sz="0" w:space="0" w:color="auto"/>
            <w:right w:val="none" w:sz="0" w:space="0" w:color="auto"/>
          </w:divBdr>
        </w:div>
        <w:div w:id="1774284748">
          <w:marLeft w:val="547"/>
          <w:marRight w:val="0"/>
          <w:marTop w:val="320"/>
          <w:marBottom w:val="0"/>
          <w:divBdr>
            <w:top w:val="none" w:sz="0" w:space="0" w:color="auto"/>
            <w:left w:val="none" w:sz="0" w:space="0" w:color="auto"/>
            <w:bottom w:val="none" w:sz="0" w:space="0" w:color="auto"/>
            <w:right w:val="none" w:sz="0" w:space="0" w:color="auto"/>
          </w:divBdr>
        </w:div>
      </w:divsChild>
    </w:div>
    <w:div w:id="333261611">
      <w:bodyDiv w:val="1"/>
      <w:marLeft w:val="0"/>
      <w:marRight w:val="0"/>
      <w:marTop w:val="0"/>
      <w:marBottom w:val="0"/>
      <w:divBdr>
        <w:top w:val="none" w:sz="0" w:space="0" w:color="auto"/>
        <w:left w:val="none" w:sz="0" w:space="0" w:color="auto"/>
        <w:bottom w:val="none" w:sz="0" w:space="0" w:color="auto"/>
        <w:right w:val="none" w:sz="0" w:space="0" w:color="auto"/>
      </w:divBdr>
      <w:divsChild>
        <w:div w:id="331836611">
          <w:marLeft w:val="720"/>
          <w:marRight w:val="0"/>
          <w:marTop w:val="200"/>
          <w:marBottom w:val="0"/>
          <w:divBdr>
            <w:top w:val="none" w:sz="0" w:space="0" w:color="auto"/>
            <w:left w:val="none" w:sz="0" w:space="0" w:color="auto"/>
            <w:bottom w:val="none" w:sz="0" w:space="0" w:color="auto"/>
            <w:right w:val="none" w:sz="0" w:space="0" w:color="auto"/>
          </w:divBdr>
        </w:div>
      </w:divsChild>
    </w:div>
    <w:div w:id="405341009">
      <w:bodyDiv w:val="1"/>
      <w:marLeft w:val="0"/>
      <w:marRight w:val="0"/>
      <w:marTop w:val="0"/>
      <w:marBottom w:val="0"/>
      <w:divBdr>
        <w:top w:val="none" w:sz="0" w:space="0" w:color="auto"/>
        <w:left w:val="none" w:sz="0" w:space="0" w:color="auto"/>
        <w:bottom w:val="none" w:sz="0" w:space="0" w:color="auto"/>
        <w:right w:val="none" w:sz="0" w:space="0" w:color="auto"/>
      </w:divBdr>
      <w:divsChild>
        <w:div w:id="531573703">
          <w:marLeft w:val="547"/>
          <w:marRight w:val="0"/>
          <w:marTop w:val="320"/>
          <w:marBottom w:val="0"/>
          <w:divBdr>
            <w:top w:val="none" w:sz="0" w:space="0" w:color="auto"/>
            <w:left w:val="none" w:sz="0" w:space="0" w:color="auto"/>
            <w:bottom w:val="none" w:sz="0" w:space="0" w:color="auto"/>
            <w:right w:val="none" w:sz="0" w:space="0" w:color="auto"/>
          </w:divBdr>
        </w:div>
      </w:divsChild>
    </w:div>
    <w:div w:id="534737735">
      <w:bodyDiv w:val="1"/>
      <w:marLeft w:val="0"/>
      <w:marRight w:val="0"/>
      <w:marTop w:val="0"/>
      <w:marBottom w:val="0"/>
      <w:divBdr>
        <w:top w:val="none" w:sz="0" w:space="0" w:color="auto"/>
        <w:left w:val="none" w:sz="0" w:space="0" w:color="auto"/>
        <w:bottom w:val="none" w:sz="0" w:space="0" w:color="auto"/>
        <w:right w:val="none" w:sz="0" w:space="0" w:color="auto"/>
      </w:divBdr>
    </w:div>
    <w:div w:id="601842077">
      <w:bodyDiv w:val="1"/>
      <w:marLeft w:val="0"/>
      <w:marRight w:val="0"/>
      <w:marTop w:val="0"/>
      <w:marBottom w:val="0"/>
      <w:divBdr>
        <w:top w:val="none" w:sz="0" w:space="0" w:color="auto"/>
        <w:left w:val="none" w:sz="0" w:space="0" w:color="auto"/>
        <w:bottom w:val="none" w:sz="0" w:space="0" w:color="auto"/>
        <w:right w:val="none" w:sz="0" w:space="0" w:color="auto"/>
      </w:divBdr>
    </w:div>
    <w:div w:id="607781455">
      <w:bodyDiv w:val="1"/>
      <w:marLeft w:val="0"/>
      <w:marRight w:val="0"/>
      <w:marTop w:val="0"/>
      <w:marBottom w:val="0"/>
      <w:divBdr>
        <w:top w:val="none" w:sz="0" w:space="0" w:color="auto"/>
        <w:left w:val="none" w:sz="0" w:space="0" w:color="auto"/>
        <w:bottom w:val="none" w:sz="0" w:space="0" w:color="auto"/>
        <w:right w:val="none" w:sz="0" w:space="0" w:color="auto"/>
      </w:divBdr>
      <w:divsChild>
        <w:div w:id="346950503">
          <w:marLeft w:val="547"/>
          <w:marRight w:val="0"/>
          <w:marTop w:val="200"/>
          <w:marBottom w:val="0"/>
          <w:divBdr>
            <w:top w:val="none" w:sz="0" w:space="0" w:color="auto"/>
            <w:left w:val="none" w:sz="0" w:space="0" w:color="auto"/>
            <w:bottom w:val="none" w:sz="0" w:space="0" w:color="auto"/>
            <w:right w:val="none" w:sz="0" w:space="0" w:color="auto"/>
          </w:divBdr>
        </w:div>
        <w:div w:id="834956600">
          <w:marLeft w:val="547"/>
          <w:marRight w:val="0"/>
          <w:marTop w:val="200"/>
          <w:marBottom w:val="0"/>
          <w:divBdr>
            <w:top w:val="none" w:sz="0" w:space="0" w:color="auto"/>
            <w:left w:val="none" w:sz="0" w:space="0" w:color="auto"/>
            <w:bottom w:val="none" w:sz="0" w:space="0" w:color="auto"/>
            <w:right w:val="none" w:sz="0" w:space="0" w:color="auto"/>
          </w:divBdr>
        </w:div>
        <w:div w:id="1127821306">
          <w:marLeft w:val="547"/>
          <w:marRight w:val="0"/>
          <w:marTop w:val="200"/>
          <w:marBottom w:val="0"/>
          <w:divBdr>
            <w:top w:val="none" w:sz="0" w:space="0" w:color="auto"/>
            <w:left w:val="none" w:sz="0" w:space="0" w:color="auto"/>
            <w:bottom w:val="none" w:sz="0" w:space="0" w:color="auto"/>
            <w:right w:val="none" w:sz="0" w:space="0" w:color="auto"/>
          </w:divBdr>
        </w:div>
      </w:divsChild>
    </w:div>
    <w:div w:id="649284576">
      <w:bodyDiv w:val="1"/>
      <w:marLeft w:val="0"/>
      <w:marRight w:val="0"/>
      <w:marTop w:val="0"/>
      <w:marBottom w:val="0"/>
      <w:divBdr>
        <w:top w:val="none" w:sz="0" w:space="0" w:color="auto"/>
        <w:left w:val="none" w:sz="0" w:space="0" w:color="auto"/>
        <w:bottom w:val="none" w:sz="0" w:space="0" w:color="auto"/>
        <w:right w:val="none" w:sz="0" w:space="0" w:color="auto"/>
      </w:divBdr>
    </w:div>
    <w:div w:id="777791840">
      <w:bodyDiv w:val="1"/>
      <w:marLeft w:val="0"/>
      <w:marRight w:val="0"/>
      <w:marTop w:val="0"/>
      <w:marBottom w:val="0"/>
      <w:divBdr>
        <w:top w:val="none" w:sz="0" w:space="0" w:color="auto"/>
        <w:left w:val="none" w:sz="0" w:space="0" w:color="auto"/>
        <w:bottom w:val="none" w:sz="0" w:space="0" w:color="auto"/>
        <w:right w:val="none" w:sz="0" w:space="0" w:color="auto"/>
      </w:divBdr>
      <w:divsChild>
        <w:div w:id="1603998940">
          <w:marLeft w:val="0"/>
          <w:marRight w:val="0"/>
          <w:marTop w:val="0"/>
          <w:marBottom w:val="0"/>
          <w:divBdr>
            <w:top w:val="none" w:sz="0" w:space="0" w:color="auto"/>
            <w:left w:val="none" w:sz="0" w:space="0" w:color="auto"/>
            <w:bottom w:val="none" w:sz="0" w:space="0" w:color="auto"/>
            <w:right w:val="none" w:sz="0" w:space="0" w:color="auto"/>
          </w:divBdr>
        </w:div>
        <w:div w:id="1062800486">
          <w:marLeft w:val="0"/>
          <w:marRight w:val="0"/>
          <w:marTop w:val="0"/>
          <w:marBottom w:val="0"/>
          <w:divBdr>
            <w:top w:val="none" w:sz="0" w:space="0" w:color="auto"/>
            <w:left w:val="none" w:sz="0" w:space="0" w:color="auto"/>
            <w:bottom w:val="none" w:sz="0" w:space="0" w:color="auto"/>
            <w:right w:val="none" w:sz="0" w:space="0" w:color="auto"/>
          </w:divBdr>
        </w:div>
      </w:divsChild>
    </w:div>
    <w:div w:id="861092268">
      <w:bodyDiv w:val="1"/>
      <w:marLeft w:val="0"/>
      <w:marRight w:val="0"/>
      <w:marTop w:val="0"/>
      <w:marBottom w:val="0"/>
      <w:divBdr>
        <w:top w:val="none" w:sz="0" w:space="0" w:color="auto"/>
        <w:left w:val="none" w:sz="0" w:space="0" w:color="auto"/>
        <w:bottom w:val="none" w:sz="0" w:space="0" w:color="auto"/>
        <w:right w:val="none" w:sz="0" w:space="0" w:color="auto"/>
      </w:divBdr>
      <w:divsChild>
        <w:div w:id="1552618122">
          <w:marLeft w:val="0"/>
          <w:marRight w:val="0"/>
          <w:marTop w:val="0"/>
          <w:marBottom w:val="0"/>
          <w:divBdr>
            <w:top w:val="none" w:sz="0" w:space="0" w:color="auto"/>
            <w:left w:val="none" w:sz="0" w:space="0" w:color="auto"/>
            <w:bottom w:val="none" w:sz="0" w:space="0" w:color="auto"/>
            <w:right w:val="none" w:sz="0" w:space="0" w:color="auto"/>
          </w:divBdr>
          <w:divsChild>
            <w:div w:id="72286510">
              <w:marLeft w:val="0"/>
              <w:marRight w:val="0"/>
              <w:marTop w:val="0"/>
              <w:marBottom w:val="0"/>
              <w:divBdr>
                <w:top w:val="none" w:sz="0" w:space="0" w:color="auto"/>
                <w:left w:val="none" w:sz="0" w:space="0" w:color="auto"/>
                <w:bottom w:val="none" w:sz="0" w:space="0" w:color="auto"/>
                <w:right w:val="none" w:sz="0" w:space="0" w:color="auto"/>
              </w:divBdr>
              <w:divsChild>
                <w:div w:id="667447434">
                  <w:marLeft w:val="0"/>
                  <w:marRight w:val="0"/>
                  <w:marTop w:val="0"/>
                  <w:marBottom w:val="0"/>
                  <w:divBdr>
                    <w:top w:val="none" w:sz="0" w:space="0" w:color="auto"/>
                    <w:left w:val="none" w:sz="0" w:space="0" w:color="auto"/>
                    <w:bottom w:val="none" w:sz="0" w:space="0" w:color="auto"/>
                    <w:right w:val="none" w:sz="0" w:space="0" w:color="auto"/>
                  </w:divBdr>
                  <w:divsChild>
                    <w:div w:id="1839227205">
                      <w:marLeft w:val="0"/>
                      <w:marRight w:val="0"/>
                      <w:marTop w:val="0"/>
                      <w:marBottom w:val="0"/>
                      <w:divBdr>
                        <w:top w:val="none" w:sz="0" w:space="0" w:color="auto"/>
                        <w:left w:val="none" w:sz="0" w:space="0" w:color="auto"/>
                        <w:bottom w:val="none" w:sz="0" w:space="0" w:color="auto"/>
                        <w:right w:val="none" w:sz="0" w:space="0" w:color="auto"/>
                      </w:divBdr>
                      <w:divsChild>
                        <w:div w:id="1067072789">
                          <w:marLeft w:val="0"/>
                          <w:marRight w:val="0"/>
                          <w:marTop w:val="0"/>
                          <w:marBottom w:val="0"/>
                          <w:divBdr>
                            <w:top w:val="none" w:sz="0" w:space="0" w:color="auto"/>
                            <w:left w:val="none" w:sz="0" w:space="0" w:color="auto"/>
                            <w:bottom w:val="none" w:sz="0" w:space="0" w:color="auto"/>
                            <w:right w:val="none" w:sz="0" w:space="0" w:color="auto"/>
                          </w:divBdr>
                          <w:divsChild>
                            <w:div w:id="1359237467">
                              <w:marLeft w:val="0"/>
                              <w:marRight w:val="0"/>
                              <w:marTop w:val="0"/>
                              <w:marBottom w:val="0"/>
                              <w:divBdr>
                                <w:top w:val="none" w:sz="0" w:space="0" w:color="auto"/>
                                <w:left w:val="none" w:sz="0" w:space="0" w:color="auto"/>
                                <w:bottom w:val="none" w:sz="0" w:space="0" w:color="auto"/>
                                <w:right w:val="none" w:sz="0" w:space="0" w:color="auto"/>
                              </w:divBdr>
                              <w:divsChild>
                                <w:div w:id="2024814815">
                                  <w:marLeft w:val="0"/>
                                  <w:marRight w:val="0"/>
                                  <w:marTop w:val="0"/>
                                  <w:marBottom w:val="0"/>
                                  <w:divBdr>
                                    <w:top w:val="none" w:sz="0" w:space="0" w:color="auto"/>
                                    <w:left w:val="none" w:sz="0" w:space="0" w:color="auto"/>
                                    <w:bottom w:val="none" w:sz="0" w:space="0" w:color="auto"/>
                                    <w:right w:val="none" w:sz="0" w:space="0" w:color="auto"/>
                                  </w:divBdr>
                                  <w:divsChild>
                                    <w:div w:id="1572547270">
                                      <w:marLeft w:val="0"/>
                                      <w:marRight w:val="0"/>
                                      <w:marTop w:val="0"/>
                                      <w:marBottom w:val="0"/>
                                      <w:divBdr>
                                        <w:top w:val="none" w:sz="0" w:space="0" w:color="auto"/>
                                        <w:left w:val="none" w:sz="0" w:space="0" w:color="auto"/>
                                        <w:bottom w:val="none" w:sz="0" w:space="0" w:color="auto"/>
                                        <w:right w:val="none" w:sz="0" w:space="0" w:color="auto"/>
                                      </w:divBdr>
                                      <w:divsChild>
                                        <w:div w:id="2666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825763">
      <w:bodyDiv w:val="1"/>
      <w:marLeft w:val="0"/>
      <w:marRight w:val="0"/>
      <w:marTop w:val="0"/>
      <w:marBottom w:val="0"/>
      <w:divBdr>
        <w:top w:val="none" w:sz="0" w:space="0" w:color="auto"/>
        <w:left w:val="none" w:sz="0" w:space="0" w:color="auto"/>
        <w:bottom w:val="none" w:sz="0" w:space="0" w:color="auto"/>
        <w:right w:val="none" w:sz="0" w:space="0" w:color="auto"/>
      </w:divBdr>
    </w:div>
    <w:div w:id="1069499901">
      <w:bodyDiv w:val="1"/>
      <w:marLeft w:val="0"/>
      <w:marRight w:val="0"/>
      <w:marTop w:val="0"/>
      <w:marBottom w:val="0"/>
      <w:divBdr>
        <w:top w:val="none" w:sz="0" w:space="0" w:color="auto"/>
        <w:left w:val="none" w:sz="0" w:space="0" w:color="auto"/>
        <w:bottom w:val="none" w:sz="0" w:space="0" w:color="auto"/>
        <w:right w:val="none" w:sz="0" w:space="0" w:color="auto"/>
      </w:divBdr>
      <w:divsChild>
        <w:div w:id="97876167">
          <w:marLeft w:val="0"/>
          <w:marRight w:val="0"/>
          <w:marTop w:val="0"/>
          <w:marBottom w:val="0"/>
          <w:divBdr>
            <w:top w:val="none" w:sz="0" w:space="0" w:color="auto"/>
            <w:left w:val="none" w:sz="0" w:space="0" w:color="auto"/>
            <w:bottom w:val="none" w:sz="0" w:space="0" w:color="auto"/>
            <w:right w:val="none" w:sz="0" w:space="0" w:color="auto"/>
          </w:divBdr>
        </w:div>
        <w:div w:id="254173299">
          <w:marLeft w:val="0"/>
          <w:marRight w:val="0"/>
          <w:marTop w:val="0"/>
          <w:marBottom w:val="0"/>
          <w:divBdr>
            <w:top w:val="none" w:sz="0" w:space="0" w:color="auto"/>
            <w:left w:val="none" w:sz="0" w:space="0" w:color="auto"/>
            <w:bottom w:val="none" w:sz="0" w:space="0" w:color="auto"/>
            <w:right w:val="none" w:sz="0" w:space="0" w:color="auto"/>
          </w:divBdr>
        </w:div>
        <w:div w:id="935135736">
          <w:marLeft w:val="0"/>
          <w:marRight w:val="0"/>
          <w:marTop w:val="0"/>
          <w:marBottom w:val="0"/>
          <w:divBdr>
            <w:top w:val="none" w:sz="0" w:space="0" w:color="auto"/>
            <w:left w:val="none" w:sz="0" w:space="0" w:color="auto"/>
            <w:bottom w:val="none" w:sz="0" w:space="0" w:color="auto"/>
            <w:right w:val="none" w:sz="0" w:space="0" w:color="auto"/>
          </w:divBdr>
        </w:div>
        <w:div w:id="2050369875">
          <w:marLeft w:val="0"/>
          <w:marRight w:val="0"/>
          <w:marTop w:val="0"/>
          <w:marBottom w:val="0"/>
          <w:divBdr>
            <w:top w:val="none" w:sz="0" w:space="0" w:color="auto"/>
            <w:left w:val="none" w:sz="0" w:space="0" w:color="auto"/>
            <w:bottom w:val="none" w:sz="0" w:space="0" w:color="auto"/>
            <w:right w:val="none" w:sz="0" w:space="0" w:color="auto"/>
          </w:divBdr>
        </w:div>
        <w:div w:id="1672366383">
          <w:marLeft w:val="0"/>
          <w:marRight w:val="0"/>
          <w:marTop w:val="0"/>
          <w:marBottom w:val="0"/>
          <w:divBdr>
            <w:top w:val="none" w:sz="0" w:space="0" w:color="auto"/>
            <w:left w:val="none" w:sz="0" w:space="0" w:color="auto"/>
            <w:bottom w:val="none" w:sz="0" w:space="0" w:color="auto"/>
            <w:right w:val="none" w:sz="0" w:space="0" w:color="auto"/>
          </w:divBdr>
        </w:div>
      </w:divsChild>
    </w:div>
    <w:div w:id="1132940864">
      <w:bodyDiv w:val="1"/>
      <w:marLeft w:val="0"/>
      <w:marRight w:val="0"/>
      <w:marTop w:val="0"/>
      <w:marBottom w:val="0"/>
      <w:divBdr>
        <w:top w:val="none" w:sz="0" w:space="0" w:color="auto"/>
        <w:left w:val="none" w:sz="0" w:space="0" w:color="auto"/>
        <w:bottom w:val="none" w:sz="0" w:space="0" w:color="auto"/>
        <w:right w:val="none" w:sz="0" w:space="0" w:color="auto"/>
      </w:divBdr>
      <w:divsChild>
        <w:div w:id="809831737">
          <w:marLeft w:val="0"/>
          <w:marRight w:val="0"/>
          <w:marTop w:val="0"/>
          <w:marBottom w:val="0"/>
          <w:divBdr>
            <w:top w:val="none" w:sz="0" w:space="0" w:color="auto"/>
            <w:left w:val="none" w:sz="0" w:space="0" w:color="auto"/>
            <w:bottom w:val="none" w:sz="0" w:space="0" w:color="auto"/>
            <w:right w:val="none" w:sz="0" w:space="0" w:color="auto"/>
          </w:divBdr>
        </w:div>
        <w:div w:id="1053768704">
          <w:marLeft w:val="0"/>
          <w:marRight w:val="0"/>
          <w:marTop w:val="0"/>
          <w:marBottom w:val="0"/>
          <w:divBdr>
            <w:top w:val="none" w:sz="0" w:space="0" w:color="auto"/>
            <w:left w:val="none" w:sz="0" w:space="0" w:color="auto"/>
            <w:bottom w:val="none" w:sz="0" w:space="0" w:color="auto"/>
            <w:right w:val="none" w:sz="0" w:space="0" w:color="auto"/>
          </w:divBdr>
        </w:div>
        <w:div w:id="1439324987">
          <w:marLeft w:val="0"/>
          <w:marRight w:val="0"/>
          <w:marTop w:val="0"/>
          <w:marBottom w:val="0"/>
          <w:divBdr>
            <w:top w:val="none" w:sz="0" w:space="0" w:color="auto"/>
            <w:left w:val="none" w:sz="0" w:space="0" w:color="auto"/>
            <w:bottom w:val="none" w:sz="0" w:space="0" w:color="auto"/>
            <w:right w:val="none" w:sz="0" w:space="0" w:color="auto"/>
          </w:divBdr>
        </w:div>
        <w:div w:id="266548164">
          <w:marLeft w:val="0"/>
          <w:marRight w:val="0"/>
          <w:marTop w:val="0"/>
          <w:marBottom w:val="0"/>
          <w:divBdr>
            <w:top w:val="none" w:sz="0" w:space="0" w:color="auto"/>
            <w:left w:val="none" w:sz="0" w:space="0" w:color="auto"/>
            <w:bottom w:val="none" w:sz="0" w:space="0" w:color="auto"/>
            <w:right w:val="none" w:sz="0" w:space="0" w:color="auto"/>
          </w:divBdr>
        </w:div>
        <w:div w:id="2086219451">
          <w:marLeft w:val="0"/>
          <w:marRight w:val="0"/>
          <w:marTop w:val="0"/>
          <w:marBottom w:val="0"/>
          <w:divBdr>
            <w:top w:val="none" w:sz="0" w:space="0" w:color="auto"/>
            <w:left w:val="none" w:sz="0" w:space="0" w:color="auto"/>
            <w:bottom w:val="none" w:sz="0" w:space="0" w:color="auto"/>
            <w:right w:val="none" w:sz="0" w:space="0" w:color="auto"/>
          </w:divBdr>
        </w:div>
      </w:divsChild>
    </w:div>
    <w:div w:id="1137450470">
      <w:bodyDiv w:val="1"/>
      <w:marLeft w:val="0"/>
      <w:marRight w:val="0"/>
      <w:marTop w:val="0"/>
      <w:marBottom w:val="0"/>
      <w:divBdr>
        <w:top w:val="none" w:sz="0" w:space="0" w:color="auto"/>
        <w:left w:val="none" w:sz="0" w:space="0" w:color="auto"/>
        <w:bottom w:val="none" w:sz="0" w:space="0" w:color="auto"/>
        <w:right w:val="none" w:sz="0" w:space="0" w:color="auto"/>
      </w:divBdr>
      <w:divsChild>
        <w:div w:id="1994674257">
          <w:marLeft w:val="547"/>
          <w:marRight w:val="0"/>
          <w:marTop w:val="320"/>
          <w:marBottom w:val="0"/>
          <w:divBdr>
            <w:top w:val="none" w:sz="0" w:space="0" w:color="auto"/>
            <w:left w:val="none" w:sz="0" w:space="0" w:color="auto"/>
            <w:bottom w:val="none" w:sz="0" w:space="0" w:color="auto"/>
            <w:right w:val="none" w:sz="0" w:space="0" w:color="auto"/>
          </w:divBdr>
        </w:div>
      </w:divsChild>
    </w:div>
    <w:div w:id="1176266586">
      <w:bodyDiv w:val="1"/>
      <w:marLeft w:val="0"/>
      <w:marRight w:val="0"/>
      <w:marTop w:val="0"/>
      <w:marBottom w:val="0"/>
      <w:divBdr>
        <w:top w:val="none" w:sz="0" w:space="0" w:color="auto"/>
        <w:left w:val="none" w:sz="0" w:space="0" w:color="auto"/>
        <w:bottom w:val="none" w:sz="0" w:space="0" w:color="auto"/>
        <w:right w:val="none" w:sz="0" w:space="0" w:color="auto"/>
      </w:divBdr>
      <w:divsChild>
        <w:div w:id="1149400362">
          <w:marLeft w:val="907"/>
          <w:marRight w:val="0"/>
          <w:marTop w:val="320"/>
          <w:marBottom w:val="0"/>
          <w:divBdr>
            <w:top w:val="none" w:sz="0" w:space="0" w:color="auto"/>
            <w:left w:val="none" w:sz="0" w:space="0" w:color="auto"/>
            <w:bottom w:val="none" w:sz="0" w:space="0" w:color="auto"/>
            <w:right w:val="none" w:sz="0" w:space="0" w:color="auto"/>
          </w:divBdr>
        </w:div>
        <w:div w:id="1869220403">
          <w:marLeft w:val="907"/>
          <w:marRight w:val="0"/>
          <w:marTop w:val="320"/>
          <w:marBottom w:val="0"/>
          <w:divBdr>
            <w:top w:val="none" w:sz="0" w:space="0" w:color="auto"/>
            <w:left w:val="none" w:sz="0" w:space="0" w:color="auto"/>
            <w:bottom w:val="none" w:sz="0" w:space="0" w:color="auto"/>
            <w:right w:val="none" w:sz="0" w:space="0" w:color="auto"/>
          </w:divBdr>
        </w:div>
        <w:div w:id="1657688550">
          <w:marLeft w:val="907"/>
          <w:marRight w:val="0"/>
          <w:marTop w:val="320"/>
          <w:marBottom w:val="0"/>
          <w:divBdr>
            <w:top w:val="none" w:sz="0" w:space="0" w:color="auto"/>
            <w:left w:val="none" w:sz="0" w:space="0" w:color="auto"/>
            <w:bottom w:val="none" w:sz="0" w:space="0" w:color="auto"/>
            <w:right w:val="none" w:sz="0" w:space="0" w:color="auto"/>
          </w:divBdr>
        </w:div>
        <w:div w:id="1195921251">
          <w:marLeft w:val="907"/>
          <w:marRight w:val="0"/>
          <w:marTop w:val="320"/>
          <w:marBottom w:val="0"/>
          <w:divBdr>
            <w:top w:val="none" w:sz="0" w:space="0" w:color="auto"/>
            <w:left w:val="none" w:sz="0" w:space="0" w:color="auto"/>
            <w:bottom w:val="none" w:sz="0" w:space="0" w:color="auto"/>
            <w:right w:val="none" w:sz="0" w:space="0" w:color="auto"/>
          </w:divBdr>
        </w:div>
        <w:div w:id="973603738">
          <w:marLeft w:val="907"/>
          <w:marRight w:val="0"/>
          <w:marTop w:val="320"/>
          <w:marBottom w:val="0"/>
          <w:divBdr>
            <w:top w:val="none" w:sz="0" w:space="0" w:color="auto"/>
            <w:left w:val="none" w:sz="0" w:space="0" w:color="auto"/>
            <w:bottom w:val="none" w:sz="0" w:space="0" w:color="auto"/>
            <w:right w:val="none" w:sz="0" w:space="0" w:color="auto"/>
          </w:divBdr>
        </w:div>
      </w:divsChild>
    </w:div>
    <w:div w:id="1220288930">
      <w:bodyDiv w:val="1"/>
      <w:marLeft w:val="0"/>
      <w:marRight w:val="0"/>
      <w:marTop w:val="0"/>
      <w:marBottom w:val="0"/>
      <w:divBdr>
        <w:top w:val="none" w:sz="0" w:space="0" w:color="auto"/>
        <w:left w:val="none" w:sz="0" w:space="0" w:color="auto"/>
        <w:bottom w:val="none" w:sz="0" w:space="0" w:color="auto"/>
        <w:right w:val="none" w:sz="0" w:space="0" w:color="auto"/>
      </w:divBdr>
      <w:divsChild>
        <w:div w:id="1808355525">
          <w:marLeft w:val="720"/>
          <w:marRight w:val="0"/>
          <w:marTop w:val="320"/>
          <w:marBottom w:val="0"/>
          <w:divBdr>
            <w:top w:val="none" w:sz="0" w:space="0" w:color="auto"/>
            <w:left w:val="none" w:sz="0" w:space="0" w:color="auto"/>
            <w:bottom w:val="none" w:sz="0" w:space="0" w:color="auto"/>
            <w:right w:val="none" w:sz="0" w:space="0" w:color="auto"/>
          </w:divBdr>
        </w:div>
      </w:divsChild>
    </w:div>
    <w:div w:id="1238830651">
      <w:bodyDiv w:val="1"/>
      <w:marLeft w:val="0"/>
      <w:marRight w:val="0"/>
      <w:marTop w:val="0"/>
      <w:marBottom w:val="0"/>
      <w:divBdr>
        <w:top w:val="none" w:sz="0" w:space="0" w:color="auto"/>
        <w:left w:val="none" w:sz="0" w:space="0" w:color="auto"/>
        <w:bottom w:val="none" w:sz="0" w:space="0" w:color="auto"/>
        <w:right w:val="none" w:sz="0" w:space="0" w:color="auto"/>
      </w:divBdr>
      <w:divsChild>
        <w:div w:id="2118988819">
          <w:marLeft w:val="720"/>
          <w:marRight w:val="0"/>
          <w:marTop w:val="200"/>
          <w:marBottom w:val="0"/>
          <w:divBdr>
            <w:top w:val="none" w:sz="0" w:space="0" w:color="auto"/>
            <w:left w:val="none" w:sz="0" w:space="0" w:color="auto"/>
            <w:bottom w:val="none" w:sz="0" w:space="0" w:color="auto"/>
            <w:right w:val="none" w:sz="0" w:space="0" w:color="auto"/>
          </w:divBdr>
        </w:div>
      </w:divsChild>
    </w:div>
    <w:div w:id="1356883640">
      <w:bodyDiv w:val="1"/>
      <w:marLeft w:val="0"/>
      <w:marRight w:val="0"/>
      <w:marTop w:val="0"/>
      <w:marBottom w:val="0"/>
      <w:divBdr>
        <w:top w:val="none" w:sz="0" w:space="0" w:color="auto"/>
        <w:left w:val="none" w:sz="0" w:space="0" w:color="auto"/>
        <w:bottom w:val="none" w:sz="0" w:space="0" w:color="auto"/>
        <w:right w:val="none" w:sz="0" w:space="0" w:color="auto"/>
      </w:divBdr>
      <w:divsChild>
        <w:div w:id="649943068">
          <w:marLeft w:val="720"/>
          <w:marRight w:val="0"/>
          <w:marTop w:val="320"/>
          <w:marBottom w:val="0"/>
          <w:divBdr>
            <w:top w:val="none" w:sz="0" w:space="0" w:color="auto"/>
            <w:left w:val="none" w:sz="0" w:space="0" w:color="auto"/>
            <w:bottom w:val="none" w:sz="0" w:space="0" w:color="auto"/>
            <w:right w:val="none" w:sz="0" w:space="0" w:color="auto"/>
          </w:divBdr>
        </w:div>
      </w:divsChild>
    </w:div>
    <w:div w:id="1381054928">
      <w:bodyDiv w:val="1"/>
      <w:marLeft w:val="0"/>
      <w:marRight w:val="0"/>
      <w:marTop w:val="0"/>
      <w:marBottom w:val="0"/>
      <w:divBdr>
        <w:top w:val="none" w:sz="0" w:space="0" w:color="auto"/>
        <w:left w:val="none" w:sz="0" w:space="0" w:color="auto"/>
        <w:bottom w:val="none" w:sz="0" w:space="0" w:color="auto"/>
        <w:right w:val="none" w:sz="0" w:space="0" w:color="auto"/>
      </w:divBdr>
      <w:divsChild>
        <w:div w:id="1958216313">
          <w:marLeft w:val="720"/>
          <w:marRight w:val="0"/>
          <w:marTop w:val="320"/>
          <w:marBottom w:val="0"/>
          <w:divBdr>
            <w:top w:val="none" w:sz="0" w:space="0" w:color="auto"/>
            <w:left w:val="none" w:sz="0" w:space="0" w:color="auto"/>
            <w:bottom w:val="none" w:sz="0" w:space="0" w:color="auto"/>
            <w:right w:val="none" w:sz="0" w:space="0" w:color="auto"/>
          </w:divBdr>
        </w:div>
      </w:divsChild>
    </w:div>
    <w:div w:id="1427385185">
      <w:bodyDiv w:val="1"/>
      <w:marLeft w:val="0"/>
      <w:marRight w:val="0"/>
      <w:marTop w:val="0"/>
      <w:marBottom w:val="0"/>
      <w:divBdr>
        <w:top w:val="none" w:sz="0" w:space="0" w:color="auto"/>
        <w:left w:val="none" w:sz="0" w:space="0" w:color="auto"/>
        <w:bottom w:val="none" w:sz="0" w:space="0" w:color="auto"/>
        <w:right w:val="none" w:sz="0" w:space="0" w:color="auto"/>
      </w:divBdr>
      <w:divsChild>
        <w:div w:id="1075738046">
          <w:marLeft w:val="547"/>
          <w:marRight w:val="0"/>
          <w:marTop w:val="200"/>
          <w:marBottom w:val="0"/>
          <w:divBdr>
            <w:top w:val="none" w:sz="0" w:space="0" w:color="auto"/>
            <w:left w:val="none" w:sz="0" w:space="0" w:color="auto"/>
            <w:bottom w:val="none" w:sz="0" w:space="0" w:color="auto"/>
            <w:right w:val="none" w:sz="0" w:space="0" w:color="auto"/>
          </w:divBdr>
        </w:div>
        <w:div w:id="140730808">
          <w:marLeft w:val="547"/>
          <w:marRight w:val="0"/>
          <w:marTop w:val="200"/>
          <w:marBottom w:val="0"/>
          <w:divBdr>
            <w:top w:val="none" w:sz="0" w:space="0" w:color="auto"/>
            <w:left w:val="none" w:sz="0" w:space="0" w:color="auto"/>
            <w:bottom w:val="none" w:sz="0" w:space="0" w:color="auto"/>
            <w:right w:val="none" w:sz="0" w:space="0" w:color="auto"/>
          </w:divBdr>
        </w:div>
        <w:div w:id="2050374115">
          <w:marLeft w:val="547"/>
          <w:marRight w:val="0"/>
          <w:marTop w:val="200"/>
          <w:marBottom w:val="0"/>
          <w:divBdr>
            <w:top w:val="none" w:sz="0" w:space="0" w:color="auto"/>
            <w:left w:val="none" w:sz="0" w:space="0" w:color="auto"/>
            <w:bottom w:val="none" w:sz="0" w:space="0" w:color="auto"/>
            <w:right w:val="none" w:sz="0" w:space="0" w:color="auto"/>
          </w:divBdr>
        </w:div>
      </w:divsChild>
    </w:div>
    <w:div w:id="1508712755">
      <w:bodyDiv w:val="1"/>
      <w:marLeft w:val="0"/>
      <w:marRight w:val="0"/>
      <w:marTop w:val="0"/>
      <w:marBottom w:val="0"/>
      <w:divBdr>
        <w:top w:val="none" w:sz="0" w:space="0" w:color="auto"/>
        <w:left w:val="none" w:sz="0" w:space="0" w:color="auto"/>
        <w:bottom w:val="none" w:sz="0" w:space="0" w:color="auto"/>
        <w:right w:val="none" w:sz="0" w:space="0" w:color="auto"/>
      </w:divBdr>
      <w:divsChild>
        <w:div w:id="463818806">
          <w:marLeft w:val="0"/>
          <w:marRight w:val="0"/>
          <w:marTop w:val="0"/>
          <w:marBottom w:val="0"/>
          <w:divBdr>
            <w:top w:val="none" w:sz="0" w:space="0" w:color="auto"/>
            <w:left w:val="none" w:sz="0" w:space="0" w:color="auto"/>
            <w:bottom w:val="none" w:sz="0" w:space="0" w:color="auto"/>
            <w:right w:val="none" w:sz="0" w:space="0" w:color="auto"/>
          </w:divBdr>
          <w:divsChild>
            <w:div w:id="1009064529">
              <w:marLeft w:val="0"/>
              <w:marRight w:val="0"/>
              <w:marTop w:val="0"/>
              <w:marBottom w:val="0"/>
              <w:divBdr>
                <w:top w:val="none" w:sz="0" w:space="0" w:color="auto"/>
                <w:left w:val="none" w:sz="0" w:space="0" w:color="auto"/>
                <w:bottom w:val="none" w:sz="0" w:space="0" w:color="auto"/>
                <w:right w:val="none" w:sz="0" w:space="0" w:color="auto"/>
              </w:divBdr>
              <w:divsChild>
                <w:div w:id="865993770">
                  <w:marLeft w:val="0"/>
                  <w:marRight w:val="0"/>
                  <w:marTop w:val="0"/>
                  <w:marBottom w:val="0"/>
                  <w:divBdr>
                    <w:top w:val="none" w:sz="0" w:space="0" w:color="auto"/>
                    <w:left w:val="none" w:sz="0" w:space="0" w:color="auto"/>
                    <w:bottom w:val="none" w:sz="0" w:space="0" w:color="auto"/>
                    <w:right w:val="none" w:sz="0" w:space="0" w:color="auto"/>
                  </w:divBdr>
                  <w:divsChild>
                    <w:div w:id="1055206027">
                      <w:marLeft w:val="0"/>
                      <w:marRight w:val="0"/>
                      <w:marTop w:val="0"/>
                      <w:marBottom w:val="0"/>
                      <w:divBdr>
                        <w:top w:val="none" w:sz="0" w:space="0" w:color="auto"/>
                        <w:left w:val="none" w:sz="0" w:space="0" w:color="auto"/>
                        <w:bottom w:val="none" w:sz="0" w:space="0" w:color="auto"/>
                        <w:right w:val="none" w:sz="0" w:space="0" w:color="auto"/>
                      </w:divBdr>
                      <w:divsChild>
                        <w:div w:id="500194259">
                          <w:marLeft w:val="0"/>
                          <w:marRight w:val="0"/>
                          <w:marTop w:val="0"/>
                          <w:marBottom w:val="0"/>
                          <w:divBdr>
                            <w:top w:val="none" w:sz="0" w:space="0" w:color="auto"/>
                            <w:left w:val="none" w:sz="0" w:space="0" w:color="auto"/>
                            <w:bottom w:val="none" w:sz="0" w:space="0" w:color="auto"/>
                            <w:right w:val="none" w:sz="0" w:space="0" w:color="auto"/>
                          </w:divBdr>
                          <w:divsChild>
                            <w:div w:id="1599098412">
                              <w:marLeft w:val="0"/>
                              <w:marRight w:val="0"/>
                              <w:marTop w:val="0"/>
                              <w:marBottom w:val="0"/>
                              <w:divBdr>
                                <w:top w:val="none" w:sz="0" w:space="0" w:color="auto"/>
                                <w:left w:val="none" w:sz="0" w:space="0" w:color="auto"/>
                                <w:bottom w:val="none" w:sz="0" w:space="0" w:color="auto"/>
                                <w:right w:val="none" w:sz="0" w:space="0" w:color="auto"/>
                              </w:divBdr>
                              <w:divsChild>
                                <w:div w:id="2101028072">
                                  <w:marLeft w:val="0"/>
                                  <w:marRight w:val="0"/>
                                  <w:marTop w:val="0"/>
                                  <w:marBottom w:val="0"/>
                                  <w:divBdr>
                                    <w:top w:val="none" w:sz="0" w:space="0" w:color="auto"/>
                                    <w:left w:val="none" w:sz="0" w:space="0" w:color="auto"/>
                                    <w:bottom w:val="none" w:sz="0" w:space="0" w:color="auto"/>
                                    <w:right w:val="none" w:sz="0" w:space="0" w:color="auto"/>
                                  </w:divBdr>
                                  <w:divsChild>
                                    <w:div w:id="2043431524">
                                      <w:marLeft w:val="0"/>
                                      <w:marRight w:val="0"/>
                                      <w:marTop w:val="0"/>
                                      <w:marBottom w:val="0"/>
                                      <w:divBdr>
                                        <w:top w:val="none" w:sz="0" w:space="0" w:color="auto"/>
                                        <w:left w:val="none" w:sz="0" w:space="0" w:color="auto"/>
                                        <w:bottom w:val="none" w:sz="0" w:space="0" w:color="auto"/>
                                        <w:right w:val="none" w:sz="0" w:space="0" w:color="auto"/>
                                      </w:divBdr>
                                      <w:divsChild>
                                        <w:div w:id="15586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540767">
      <w:bodyDiv w:val="1"/>
      <w:marLeft w:val="0"/>
      <w:marRight w:val="0"/>
      <w:marTop w:val="0"/>
      <w:marBottom w:val="0"/>
      <w:divBdr>
        <w:top w:val="none" w:sz="0" w:space="0" w:color="auto"/>
        <w:left w:val="none" w:sz="0" w:space="0" w:color="auto"/>
        <w:bottom w:val="none" w:sz="0" w:space="0" w:color="auto"/>
        <w:right w:val="none" w:sz="0" w:space="0" w:color="auto"/>
      </w:divBdr>
    </w:div>
    <w:div w:id="1555969347">
      <w:bodyDiv w:val="1"/>
      <w:marLeft w:val="0"/>
      <w:marRight w:val="0"/>
      <w:marTop w:val="0"/>
      <w:marBottom w:val="0"/>
      <w:divBdr>
        <w:top w:val="none" w:sz="0" w:space="0" w:color="auto"/>
        <w:left w:val="none" w:sz="0" w:space="0" w:color="auto"/>
        <w:bottom w:val="none" w:sz="0" w:space="0" w:color="auto"/>
        <w:right w:val="none" w:sz="0" w:space="0" w:color="auto"/>
      </w:divBdr>
      <w:divsChild>
        <w:div w:id="1637105267">
          <w:marLeft w:val="0"/>
          <w:marRight w:val="0"/>
          <w:marTop w:val="0"/>
          <w:marBottom w:val="0"/>
          <w:divBdr>
            <w:top w:val="none" w:sz="0" w:space="0" w:color="auto"/>
            <w:left w:val="none" w:sz="0" w:space="0" w:color="auto"/>
            <w:bottom w:val="none" w:sz="0" w:space="0" w:color="auto"/>
            <w:right w:val="none" w:sz="0" w:space="0" w:color="auto"/>
          </w:divBdr>
          <w:divsChild>
            <w:div w:id="9747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5865">
      <w:bodyDiv w:val="1"/>
      <w:marLeft w:val="0"/>
      <w:marRight w:val="0"/>
      <w:marTop w:val="0"/>
      <w:marBottom w:val="0"/>
      <w:divBdr>
        <w:top w:val="none" w:sz="0" w:space="0" w:color="auto"/>
        <w:left w:val="none" w:sz="0" w:space="0" w:color="auto"/>
        <w:bottom w:val="none" w:sz="0" w:space="0" w:color="auto"/>
        <w:right w:val="none" w:sz="0" w:space="0" w:color="auto"/>
      </w:divBdr>
      <w:divsChild>
        <w:div w:id="77025915">
          <w:marLeft w:val="547"/>
          <w:marRight w:val="0"/>
          <w:marTop w:val="320"/>
          <w:marBottom w:val="0"/>
          <w:divBdr>
            <w:top w:val="none" w:sz="0" w:space="0" w:color="auto"/>
            <w:left w:val="none" w:sz="0" w:space="0" w:color="auto"/>
            <w:bottom w:val="none" w:sz="0" w:space="0" w:color="auto"/>
            <w:right w:val="none" w:sz="0" w:space="0" w:color="auto"/>
          </w:divBdr>
        </w:div>
      </w:divsChild>
    </w:div>
    <w:div w:id="1786386242">
      <w:bodyDiv w:val="1"/>
      <w:marLeft w:val="0"/>
      <w:marRight w:val="0"/>
      <w:marTop w:val="0"/>
      <w:marBottom w:val="0"/>
      <w:divBdr>
        <w:top w:val="none" w:sz="0" w:space="0" w:color="auto"/>
        <w:left w:val="none" w:sz="0" w:space="0" w:color="auto"/>
        <w:bottom w:val="none" w:sz="0" w:space="0" w:color="auto"/>
        <w:right w:val="none" w:sz="0" w:space="0" w:color="auto"/>
      </w:divBdr>
      <w:divsChild>
        <w:div w:id="164908115">
          <w:marLeft w:val="547"/>
          <w:marRight w:val="0"/>
          <w:marTop w:val="200"/>
          <w:marBottom w:val="0"/>
          <w:divBdr>
            <w:top w:val="none" w:sz="0" w:space="0" w:color="auto"/>
            <w:left w:val="none" w:sz="0" w:space="0" w:color="auto"/>
            <w:bottom w:val="none" w:sz="0" w:space="0" w:color="auto"/>
            <w:right w:val="none" w:sz="0" w:space="0" w:color="auto"/>
          </w:divBdr>
        </w:div>
        <w:div w:id="74517187">
          <w:marLeft w:val="547"/>
          <w:marRight w:val="0"/>
          <w:marTop w:val="200"/>
          <w:marBottom w:val="0"/>
          <w:divBdr>
            <w:top w:val="none" w:sz="0" w:space="0" w:color="auto"/>
            <w:left w:val="none" w:sz="0" w:space="0" w:color="auto"/>
            <w:bottom w:val="none" w:sz="0" w:space="0" w:color="auto"/>
            <w:right w:val="none" w:sz="0" w:space="0" w:color="auto"/>
          </w:divBdr>
        </w:div>
      </w:divsChild>
    </w:div>
    <w:div w:id="1806196905">
      <w:bodyDiv w:val="1"/>
      <w:marLeft w:val="0"/>
      <w:marRight w:val="0"/>
      <w:marTop w:val="0"/>
      <w:marBottom w:val="0"/>
      <w:divBdr>
        <w:top w:val="none" w:sz="0" w:space="0" w:color="auto"/>
        <w:left w:val="none" w:sz="0" w:space="0" w:color="auto"/>
        <w:bottom w:val="none" w:sz="0" w:space="0" w:color="auto"/>
        <w:right w:val="none" w:sz="0" w:space="0" w:color="auto"/>
      </w:divBdr>
      <w:divsChild>
        <w:div w:id="275985995">
          <w:marLeft w:val="547"/>
          <w:marRight w:val="0"/>
          <w:marTop w:val="320"/>
          <w:marBottom w:val="0"/>
          <w:divBdr>
            <w:top w:val="none" w:sz="0" w:space="0" w:color="auto"/>
            <w:left w:val="none" w:sz="0" w:space="0" w:color="auto"/>
            <w:bottom w:val="none" w:sz="0" w:space="0" w:color="auto"/>
            <w:right w:val="none" w:sz="0" w:space="0" w:color="auto"/>
          </w:divBdr>
        </w:div>
      </w:divsChild>
    </w:div>
    <w:div w:id="1819573431">
      <w:bodyDiv w:val="1"/>
      <w:marLeft w:val="0"/>
      <w:marRight w:val="0"/>
      <w:marTop w:val="0"/>
      <w:marBottom w:val="0"/>
      <w:divBdr>
        <w:top w:val="none" w:sz="0" w:space="0" w:color="auto"/>
        <w:left w:val="none" w:sz="0" w:space="0" w:color="auto"/>
        <w:bottom w:val="none" w:sz="0" w:space="0" w:color="auto"/>
        <w:right w:val="none" w:sz="0" w:space="0" w:color="auto"/>
      </w:divBdr>
      <w:divsChild>
        <w:div w:id="973144607">
          <w:marLeft w:val="720"/>
          <w:marRight w:val="0"/>
          <w:marTop w:val="200"/>
          <w:marBottom w:val="0"/>
          <w:divBdr>
            <w:top w:val="none" w:sz="0" w:space="0" w:color="auto"/>
            <w:left w:val="none" w:sz="0" w:space="0" w:color="auto"/>
            <w:bottom w:val="none" w:sz="0" w:space="0" w:color="auto"/>
            <w:right w:val="none" w:sz="0" w:space="0" w:color="auto"/>
          </w:divBdr>
        </w:div>
      </w:divsChild>
    </w:div>
    <w:div w:id="1876655559">
      <w:bodyDiv w:val="1"/>
      <w:marLeft w:val="0"/>
      <w:marRight w:val="0"/>
      <w:marTop w:val="0"/>
      <w:marBottom w:val="0"/>
      <w:divBdr>
        <w:top w:val="none" w:sz="0" w:space="0" w:color="auto"/>
        <w:left w:val="none" w:sz="0" w:space="0" w:color="auto"/>
        <w:bottom w:val="none" w:sz="0" w:space="0" w:color="auto"/>
        <w:right w:val="none" w:sz="0" w:space="0" w:color="auto"/>
      </w:divBdr>
      <w:divsChild>
        <w:div w:id="888761568">
          <w:marLeft w:val="547"/>
          <w:marRight w:val="0"/>
          <w:marTop w:val="320"/>
          <w:marBottom w:val="0"/>
          <w:divBdr>
            <w:top w:val="none" w:sz="0" w:space="0" w:color="auto"/>
            <w:left w:val="none" w:sz="0" w:space="0" w:color="auto"/>
            <w:bottom w:val="none" w:sz="0" w:space="0" w:color="auto"/>
            <w:right w:val="none" w:sz="0" w:space="0" w:color="auto"/>
          </w:divBdr>
        </w:div>
      </w:divsChild>
    </w:div>
    <w:div w:id="1970672142">
      <w:bodyDiv w:val="1"/>
      <w:marLeft w:val="0"/>
      <w:marRight w:val="0"/>
      <w:marTop w:val="0"/>
      <w:marBottom w:val="0"/>
      <w:divBdr>
        <w:top w:val="none" w:sz="0" w:space="0" w:color="auto"/>
        <w:left w:val="none" w:sz="0" w:space="0" w:color="auto"/>
        <w:bottom w:val="none" w:sz="0" w:space="0" w:color="auto"/>
        <w:right w:val="none" w:sz="0" w:space="0" w:color="auto"/>
      </w:divBdr>
      <w:divsChild>
        <w:div w:id="1816990685">
          <w:marLeft w:val="720"/>
          <w:marRight w:val="0"/>
          <w:marTop w:val="320"/>
          <w:marBottom w:val="0"/>
          <w:divBdr>
            <w:top w:val="none" w:sz="0" w:space="0" w:color="auto"/>
            <w:left w:val="none" w:sz="0" w:space="0" w:color="auto"/>
            <w:bottom w:val="none" w:sz="0" w:space="0" w:color="auto"/>
            <w:right w:val="none" w:sz="0" w:space="0" w:color="auto"/>
          </w:divBdr>
        </w:div>
        <w:div w:id="1380784333">
          <w:marLeft w:val="720"/>
          <w:marRight w:val="0"/>
          <w:marTop w:val="320"/>
          <w:marBottom w:val="0"/>
          <w:divBdr>
            <w:top w:val="none" w:sz="0" w:space="0" w:color="auto"/>
            <w:left w:val="none" w:sz="0" w:space="0" w:color="auto"/>
            <w:bottom w:val="none" w:sz="0" w:space="0" w:color="auto"/>
            <w:right w:val="none" w:sz="0" w:space="0" w:color="auto"/>
          </w:divBdr>
        </w:div>
        <w:div w:id="964770190">
          <w:marLeft w:val="720"/>
          <w:marRight w:val="0"/>
          <w:marTop w:val="320"/>
          <w:marBottom w:val="0"/>
          <w:divBdr>
            <w:top w:val="none" w:sz="0" w:space="0" w:color="auto"/>
            <w:left w:val="none" w:sz="0" w:space="0" w:color="auto"/>
            <w:bottom w:val="none" w:sz="0" w:space="0" w:color="auto"/>
            <w:right w:val="none" w:sz="0" w:space="0" w:color="auto"/>
          </w:divBdr>
        </w:div>
        <w:div w:id="1957908798">
          <w:marLeft w:val="720"/>
          <w:marRight w:val="0"/>
          <w:marTop w:val="320"/>
          <w:marBottom w:val="0"/>
          <w:divBdr>
            <w:top w:val="none" w:sz="0" w:space="0" w:color="auto"/>
            <w:left w:val="none" w:sz="0" w:space="0" w:color="auto"/>
            <w:bottom w:val="none" w:sz="0" w:space="0" w:color="auto"/>
            <w:right w:val="none" w:sz="0" w:space="0" w:color="auto"/>
          </w:divBdr>
        </w:div>
        <w:div w:id="896933156">
          <w:marLeft w:val="720"/>
          <w:marRight w:val="0"/>
          <w:marTop w:val="320"/>
          <w:marBottom w:val="0"/>
          <w:divBdr>
            <w:top w:val="none" w:sz="0" w:space="0" w:color="auto"/>
            <w:left w:val="none" w:sz="0" w:space="0" w:color="auto"/>
            <w:bottom w:val="none" w:sz="0" w:space="0" w:color="auto"/>
            <w:right w:val="none" w:sz="0" w:space="0" w:color="auto"/>
          </w:divBdr>
        </w:div>
      </w:divsChild>
    </w:div>
    <w:div w:id="1995328639">
      <w:bodyDiv w:val="1"/>
      <w:marLeft w:val="0"/>
      <w:marRight w:val="0"/>
      <w:marTop w:val="0"/>
      <w:marBottom w:val="0"/>
      <w:divBdr>
        <w:top w:val="none" w:sz="0" w:space="0" w:color="auto"/>
        <w:left w:val="none" w:sz="0" w:space="0" w:color="auto"/>
        <w:bottom w:val="none" w:sz="0" w:space="0" w:color="auto"/>
        <w:right w:val="none" w:sz="0" w:space="0" w:color="auto"/>
      </w:divBdr>
      <w:divsChild>
        <w:div w:id="673534017">
          <w:marLeft w:val="0"/>
          <w:marRight w:val="0"/>
          <w:marTop w:val="0"/>
          <w:marBottom w:val="0"/>
          <w:divBdr>
            <w:top w:val="none" w:sz="0" w:space="0" w:color="auto"/>
            <w:left w:val="none" w:sz="0" w:space="0" w:color="auto"/>
            <w:bottom w:val="none" w:sz="0" w:space="0" w:color="auto"/>
            <w:right w:val="none" w:sz="0" w:space="0" w:color="auto"/>
          </w:divBdr>
          <w:divsChild>
            <w:div w:id="13513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3924">
      <w:bodyDiv w:val="1"/>
      <w:marLeft w:val="0"/>
      <w:marRight w:val="0"/>
      <w:marTop w:val="0"/>
      <w:marBottom w:val="0"/>
      <w:divBdr>
        <w:top w:val="none" w:sz="0" w:space="0" w:color="auto"/>
        <w:left w:val="none" w:sz="0" w:space="0" w:color="auto"/>
        <w:bottom w:val="none" w:sz="0" w:space="0" w:color="auto"/>
        <w:right w:val="none" w:sz="0" w:space="0" w:color="auto"/>
      </w:divBdr>
    </w:div>
    <w:div w:id="2030520448">
      <w:bodyDiv w:val="1"/>
      <w:marLeft w:val="0"/>
      <w:marRight w:val="0"/>
      <w:marTop w:val="0"/>
      <w:marBottom w:val="0"/>
      <w:divBdr>
        <w:top w:val="none" w:sz="0" w:space="0" w:color="auto"/>
        <w:left w:val="none" w:sz="0" w:space="0" w:color="auto"/>
        <w:bottom w:val="none" w:sz="0" w:space="0" w:color="auto"/>
        <w:right w:val="none" w:sz="0" w:space="0" w:color="auto"/>
      </w:divBdr>
      <w:divsChild>
        <w:div w:id="1929457443">
          <w:marLeft w:val="0"/>
          <w:marRight w:val="0"/>
          <w:marTop w:val="0"/>
          <w:marBottom w:val="0"/>
          <w:divBdr>
            <w:top w:val="none" w:sz="0" w:space="0" w:color="auto"/>
            <w:left w:val="none" w:sz="0" w:space="0" w:color="auto"/>
            <w:bottom w:val="none" w:sz="0" w:space="0" w:color="auto"/>
            <w:right w:val="none" w:sz="0" w:space="0" w:color="auto"/>
          </w:divBdr>
          <w:divsChild>
            <w:div w:id="1203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9159">
      <w:bodyDiv w:val="1"/>
      <w:marLeft w:val="0"/>
      <w:marRight w:val="0"/>
      <w:marTop w:val="0"/>
      <w:marBottom w:val="0"/>
      <w:divBdr>
        <w:top w:val="none" w:sz="0" w:space="0" w:color="auto"/>
        <w:left w:val="none" w:sz="0" w:space="0" w:color="auto"/>
        <w:bottom w:val="none" w:sz="0" w:space="0" w:color="auto"/>
        <w:right w:val="none" w:sz="0" w:space="0" w:color="auto"/>
      </w:divBdr>
      <w:divsChild>
        <w:div w:id="2018728052">
          <w:marLeft w:val="0"/>
          <w:marRight w:val="0"/>
          <w:marTop w:val="0"/>
          <w:marBottom w:val="0"/>
          <w:divBdr>
            <w:top w:val="none" w:sz="0" w:space="0" w:color="auto"/>
            <w:left w:val="none" w:sz="0" w:space="0" w:color="auto"/>
            <w:bottom w:val="none" w:sz="0" w:space="0" w:color="auto"/>
            <w:right w:val="none" w:sz="0" w:space="0" w:color="auto"/>
          </w:divBdr>
          <w:divsChild>
            <w:div w:id="14741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99659">
      <w:bodyDiv w:val="1"/>
      <w:marLeft w:val="0"/>
      <w:marRight w:val="0"/>
      <w:marTop w:val="0"/>
      <w:marBottom w:val="0"/>
      <w:divBdr>
        <w:top w:val="none" w:sz="0" w:space="0" w:color="auto"/>
        <w:left w:val="none" w:sz="0" w:space="0" w:color="auto"/>
        <w:bottom w:val="none" w:sz="0" w:space="0" w:color="auto"/>
        <w:right w:val="none" w:sz="0" w:space="0" w:color="auto"/>
      </w:divBdr>
      <w:divsChild>
        <w:div w:id="1051537328">
          <w:marLeft w:val="907"/>
          <w:marRight w:val="0"/>
          <w:marTop w:val="320"/>
          <w:marBottom w:val="0"/>
          <w:divBdr>
            <w:top w:val="none" w:sz="0" w:space="0" w:color="auto"/>
            <w:left w:val="none" w:sz="0" w:space="0" w:color="auto"/>
            <w:bottom w:val="none" w:sz="0" w:space="0" w:color="auto"/>
            <w:right w:val="none" w:sz="0" w:space="0" w:color="auto"/>
          </w:divBdr>
        </w:div>
        <w:div w:id="1596547648">
          <w:marLeft w:val="907"/>
          <w:marRight w:val="0"/>
          <w:marTop w:val="320"/>
          <w:marBottom w:val="0"/>
          <w:divBdr>
            <w:top w:val="none" w:sz="0" w:space="0" w:color="auto"/>
            <w:left w:val="none" w:sz="0" w:space="0" w:color="auto"/>
            <w:bottom w:val="none" w:sz="0" w:space="0" w:color="auto"/>
            <w:right w:val="none" w:sz="0" w:space="0" w:color="auto"/>
          </w:divBdr>
        </w:div>
        <w:div w:id="1935507399">
          <w:marLeft w:val="907"/>
          <w:marRight w:val="0"/>
          <w:marTop w:val="320"/>
          <w:marBottom w:val="0"/>
          <w:divBdr>
            <w:top w:val="none" w:sz="0" w:space="0" w:color="auto"/>
            <w:left w:val="none" w:sz="0" w:space="0" w:color="auto"/>
            <w:bottom w:val="none" w:sz="0" w:space="0" w:color="auto"/>
            <w:right w:val="none" w:sz="0" w:space="0" w:color="auto"/>
          </w:divBdr>
        </w:div>
        <w:div w:id="758913613">
          <w:marLeft w:val="907"/>
          <w:marRight w:val="0"/>
          <w:marTop w:val="320"/>
          <w:marBottom w:val="0"/>
          <w:divBdr>
            <w:top w:val="none" w:sz="0" w:space="0" w:color="auto"/>
            <w:left w:val="none" w:sz="0" w:space="0" w:color="auto"/>
            <w:bottom w:val="none" w:sz="0" w:space="0" w:color="auto"/>
            <w:right w:val="none" w:sz="0" w:space="0" w:color="auto"/>
          </w:divBdr>
        </w:div>
      </w:divsChild>
    </w:div>
    <w:div w:id="2139294218">
      <w:bodyDiv w:val="1"/>
      <w:marLeft w:val="0"/>
      <w:marRight w:val="0"/>
      <w:marTop w:val="0"/>
      <w:marBottom w:val="0"/>
      <w:divBdr>
        <w:top w:val="none" w:sz="0" w:space="0" w:color="auto"/>
        <w:left w:val="none" w:sz="0" w:space="0" w:color="auto"/>
        <w:bottom w:val="none" w:sz="0" w:space="0" w:color="auto"/>
        <w:right w:val="none" w:sz="0" w:space="0" w:color="auto"/>
      </w:divBdr>
      <w:divsChild>
        <w:div w:id="535822664">
          <w:marLeft w:val="720"/>
          <w:marRight w:val="0"/>
          <w:marTop w:val="320"/>
          <w:marBottom w:val="0"/>
          <w:divBdr>
            <w:top w:val="none" w:sz="0" w:space="0" w:color="auto"/>
            <w:left w:val="none" w:sz="0" w:space="0" w:color="auto"/>
            <w:bottom w:val="none" w:sz="0" w:space="0" w:color="auto"/>
            <w:right w:val="none" w:sz="0" w:space="0" w:color="auto"/>
          </w:divBdr>
        </w:div>
        <w:div w:id="1111363501">
          <w:marLeft w:val="720"/>
          <w:marRight w:val="0"/>
          <w:marTop w:val="320"/>
          <w:marBottom w:val="0"/>
          <w:divBdr>
            <w:top w:val="none" w:sz="0" w:space="0" w:color="auto"/>
            <w:left w:val="none" w:sz="0" w:space="0" w:color="auto"/>
            <w:bottom w:val="none" w:sz="0" w:space="0" w:color="auto"/>
            <w:right w:val="none" w:sz="0" w:space="0" w:color="auto"/>
          </w:divBdr>
        </w:div>
        <w:div w:id="1524325790">
          <w:marLeft w:val="720"/>
          <w:marRight w:val="0"/>
          <w:marTop w:val="320"/>
          <w:marBottom w:val="0"/>
          <w:divBdr>
            <w:top w:val="none" w:sz="0" w:space="0" w:color="auto"/>
            <w:left w:val="none" w:sz="0" w:space="0" w:color="auto"/>
            <w:bottom w:val="none" w:sz="0" w:space="0" w:color="auto"/>
            <w:right w:val="none" w:sz="0" w:space="0" w:color="auto"/>
          </w:divBdr>
        </w:div>
        <w:div w:id="476654973">
          <w:marLeft w:val="720"/>
          <w:marRight w:val="0"/>
          <w:marTop w:val="320"/>
          <w:marBottom w:val="0"/>
          <w:divBdr>
            <w:top w:val="none" w:sz="0" w:space="0" w:color="auto"/>
            <w:left w:val="none" w:sz="0" w:space="0" w:color="auto"/>
            <w:bottom w:val="none" w:sz="0" w:space="0" w:color="auto"/>
            <w:right w:val="none" w:sz="0" w:space="0" w:color="auto"/>
          </w:divBdr>
        </w:div>
        <w:div w:id="130291130">
          <w:marLeft w:val="720"/>
          <w:marRight w:val="0"/>
          <w:marTop w:val="3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tum.de/en/ed/studies/degree-programs/computational-mechanics-m-s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loncampus.cast.org/page/udl_landing" TargetMode="External"/><Relationship Id="rId5" Type="http://schemas.openxmlformats.org/officeDocument/2006/relationships/webSettings" Target="webSettings.xml"/><Relationship Id="rId10" Type="http://schemas.openxmlformats.org/officeDocument/2006/relationships/hyperlink" Target="https://udlguidelines.cast.org" TargetMode="External"/><Relationship Id="rId4" Type="http://schemas.openxmlformats.org/officeDocument/2006/relationships/settings" Target="settings.xml"/><Relationship Id="rId9" Type="http://schemas.openxmlformats.org/officeDocument/2006/relationships/hyperlink" Target="https://www.cast.org/what-we-do/universal-design-for-learn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co.ec.europa.eu/hu" TargetMode="External"/></Relationships>
</file>

<file path=word/theme/theme1.xml><?xml version="1.0" encoding="utf-8"?>
<a:theme xmlns:a="http://schemas.openxmlformats.org/drawingml/2006/main" name="Office-téma">
  <a:themeElements>
    <a:clrScheme name="1. egyéni séma">
      <a:dk1>
        <a:sysClr val="windowText" lastClr="000000"/>
      </a:dk1>
      <a:lt1>
        <a:sysClr val="window" lastClr="FFFFFF"/>
      </a:lt1>
      <a:dk2>
        <a:srgbClr val="0E2841"/>
      </a:dk2>
      <a:lt2>
        <a:srgbClr val="E8E8E8"/>
      </a:lt2>
      <a:accent1>
        <a:srgbClr val="C00000"/>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3BB7E-8DF7-44A8-B2F7-F6099256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13741</Words>
  <Characters>94816</Characters>
  <Application>Microsoft Office Word</Application>
  <DocSecurity>0</DocSecurity>
  <Lines>790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Bihari Péter</dc:creator>
  <cp:keywords/>
  <dc:description/>
  <cp:lastModifiedBy>Kelle Gergő Attila</cp:lastModifiedBy>
  <cp:revision>4</cp:revision>
  <dcterms:created xsi:type="dcterms:W3CDTF">2026-04-17T08:23:00Z</dcterms:created>
  <dcterms:modified xsi:type="dcterms:W3CDTF">2026-04-17T08:40:00Z</dcterms:modified>
</cp:coreProperties>
</file>